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360" w:lineRule="auto"/>
        <w:ind w:firstLine="630"/>
        <w:jc w:val="center"/>
        <w:rPr>
          <w:rFonts w:hint="eastAsia" w:ascii="黑体" w:hAnsi="黑体" w:eastAsia="黑体" w:cs="黑体"/>
          <w:bCs/>
          <w:snapToGrid w:val="0"/>
          <w:kern w:val="0"/>
          <w:sz w:val="44"/>
          <w:szCs w:val="44"/>
        </w:rPr>
      </w:pPr>
      <w:bookmarkStart w:id="0" w:name="_GoBack"/>
      <w:r>
        <w:rPr>
          <w:rFonts w:hint="eastAsia" w:ascii="黑体" w:hAnsi="黑体" w:eastAsia="黑体" w:cs="黑体"/>
          <w:bCs/>
          <w:snapToGrid w:val="0"/>
          <w:kern w:val="0"/>
          <w:sz w:val="44"/>
          <w:szCs w:val="44"/>
        </w:rPr>
        <w:t>浙南产业集聚区（经开区、瓯飞）</w:t>
      </w:r>
    </w:p>
    <w:p>
      <w:pPr>
        <w:overflowPunct w:val="0"/>
        <w:adjustRightInd w:val="0"/>
        <w:snapToGrid w:val="0"/>
        <w:spacing w:line="360" w:lineRule="auto"/>
        <w:ind w:firstLine="630"/>
        <w:jc w:val="center"/>
        <w:rPr>
          <w:rFonts w:hint="eastAsia" w:ascii="黑体" w:hAnsi="黑体" w:eastAsia="黑体" w:cs="黑体"/>
          <w:bCs/>
          <w:snapToGrid w:val="0"/>
          <w:kern w:val="0"/>
          <w:sz w:val="44"/>
          <w:szCs w:val="44"/>
        </w:rPr>
      </w:pPr>
      <w:r>
        <w:rPr>
          <w:rFonts w:hint="eastAsia" w:ascii="黑体" w:hAnsi="黑体" w:eastAsia="黑体" w:cs="黑体"/>
          <w:bCs/>
          <w:snapToGrid w:val="0"/>
          <w:kern w:val="0"/>
          <w:sz w:val="44"/>
          <w:szCs w:val="44"/>
        </w:rPr>
        <w:t>2019年预算执行情况及2020年预算草案</w:t>
      </w:r>
    </w:p>
    <w:bookmarkEnd w:id="0"/>
    <w:p>
      <w:pPr>
        <w:overflowPunct w:val="0"/>
        <w:adjustRightInd w:val="0"/>
        <w:snapToGrid w:val="0"/>
        <w:spacing w:line="360" w:lineRule="auto"/>
        <w:ind w:firstLine="630"/>
        <w:jc w:val="center"/>
        <w:rPr>
          <w:rFonts w:hint="eastAsia" w:ascii="黑体" w:hAnsi="黑体" w:eastAsia="黑体" w:cs="黑体"/>
          <w:bCs/>
          <w:snapToGrid w:val="0"/>
          <w:kern w:val="0"/>
          <w:sz w:val="44"/>
          <w:szCs w:val="44"/>
        </w:rPr>
      </w:pPr>
    </w:p>
    <w:p>
      <w:pPr>
        <w:overflowPunct w:val="0"/>
        <w:adjustRightInd w:val="0"/>
        <w:snapToGrid w:val="0"/>
        <w:spacing w:line="360" w:lineRule="auto"/>
        <w:ind w:firstLine="630"/>
        <w:rPr>
          <w:rFonts w:eastAsia="黑体"/>
          <w:bCs/>
          <w:snapToGrid w:val="0"/>
          <w:kern w:val="0"/>
          <w:sz w:val="32"/>
          <w:szCs w:val="32"/>
        </w:rPr>
      </w:pPr>
      <w:r>
        <w:rPr>
          <w:rFonts w:hint="eastAsia" w:eastAsia="黑体"/>
          <w:bCs/>
          <w:snapToGrid w:val="0"/>
          <w:kern w:val="0"/>
          <w:sz w:val="32"/>
          <w:szCs w:val="32"/>
        </w:rPr>
        <w:t>一、2019年区级预算执行情况</w:t>
      </w:r>
    </w:p>
    <w:p>
      <w:pPr>
        <w:overflowPunct w:val="0"/>
        <w:adjustRightInd w:val="0"/>
        <w:snapToGrid w:val="0"/>
        <w:spacing w:line="360" w:lineRule="auto"/>
        <w:ind w:firstLine="630"/>
        <w:rPr>
          <w:rFonts w:eastAsia="仿宋_GB2312"/>
          <w:snapToGrid w:val="0"/>
          <w:kern w:val="0"/>
          <w:sz w:val="32"/>
          <w:szCs w:val="32"/>
        </w:rPr>
      </w:pPr>
      <w:r>
        <w:rPr>
          <w:rFonts w:hint="eastAsia" w:eastAsia="仿宋_GB2312"/>
          <w:snapToGrid w:val="0"/>
          <w:kern w:val="0"/>
          <w:sz w:val="32"/>
          <w:szCs w:val="32"/>
        </w:rPr>
        <w:t>2019年，在市委、市政府的坚强领导下，紧扣“奋进1161、奋战2019”主题主线，充分发挥财政职能作用，不断深化财政管理改革，保障重点领域资金投入，积极防范化解地方政府债务风险，全年财政预算执行情况良好，有效推进全区经济社会高质量发展。</w:t>
      </w:r>
    </w:p>
    <w:p>
      <w:pPr>
        <w:overflowPunct w:val="0"/>
        <w:adjustRightInd w:val="0"/>
        <w:snapToGrid w:val="0"/>
        <w:spacing w:line="360" w:lineRule="auto"/>
        <w:ind w:firstLine="630"/>
        <w:rPr>
          <w:rFonts w:hint="eastAsia" w:eastAsia="仿宋_GB2312"/>
          <w:b/>
          <w:bCs/>
          <w:snapToGrid w:val="0"/>
          <w:kern w:val="0"/>
          <w:sz w:val="32"/>
          <w:szCs w:val="32"/>
        </w:rPr>
      </w:pPr>
      <w:r>
        <w:rPr>
          <w:rFonts w:hint="eastAsia" w:eastAsia="仿宋_GB2312"/>
          <w:b/>
          <w:bCs/>
          <w:snapToGrid w:val="0"/>
          <w:kern w:val="0"/>
          <w:sz w:val="32"/>
          <w:szCs w:val="32"/>
        </w:rPr>
        <w:t>（一）一般公共预算执行情况</w:t>
      </w:r>
    </w:p>
    <w:p>
      <w:pPr>
        <w:overflowPunct w:val="0"/>
        <w:adjustRightInd w:val="0"/>
        <w:snapToGrid w:val="0"/>
        <w:spacing w:line="360" w:lineRule="auto"/>
        <w:ind w:firstLine="630"/>
        <w:rPr>
          <w:rFonts w:eastAsia="仿宋_GB2312"/>
          <w:snapToGrid w:val="0"/>
          <w:kern w:val="0"/>
          <w:sz w:val="32"/>
          <w:szCs w:val="32"/>
        </w:rPr>
      </w:pPr>
      <w:r>
        <w:rPr>
          <w:rFonts w:hint="eastAsia" w:eastAsia="仿宋_GB2312"/>
          <w:snapToGrid w:val="0"/>
          <w:kern w:val="0"/>
          <w:sz w:val="32"/>
          <w:szCs w:val="32"/>
        </w:rPr>
        <w:t>2019年全区完成一般公共预算收入20.4亿元（</w:t>
      </w:r>
      <w:r>
        <w:rPr>
          <w:rFonts w:eastAsia="仿宋_GB2312"/>
          <w:snapToGrid w:val="0"/>
          <w:kern w:val="0"/>
          <w:sz w:val="32"/>
          <w:szCs w:val="32"/>
        </w:rPr>
        <w:t>见附表一</w:t>
      </w:r>
      <w:r>
        <w:rPr>
          <w:snapToGrid w:val="0"/>
          <w:kern w:val="0"/>
          <w:sz w:val="24"/>
        </w:rPr>
        <w:t>-1</w:t>
      </w:r>
      <w:r>
        <w:rPr>
          <w:rFonts w:hint="eastAsia" w:eastAsia="仿宋_GB2312"/>
          <w:snapToGrid w:val="0"/>
          <w:kern w:val="0"/>
          <w:sz w:val="32"/>
          <w:szCs w:val="32"/>
        </w:rPr>
        <w:t>），完成预算的</w:t>
      </w:r>
      <w:r>
        <w:rPr>
          <w:rFonts w:eastAsia="仿宋_GB2312"/>
          <w:snapToGrid w:val="0"/>
          <w:kern w:val="0"/>
          <w:sz w:val="32"/>
          <w:szCs w:val="32"/>
        </w:rPr>
        <w:t>100</w:t>
      </w:r>
      <w:r>
        <w:rPr>
          <w:rFonts w:hint="eastAsia" w:eastAsia="仿宋_GB2312"/>
          <w:snapToGrid w:val="0"/>
          <w:kern w:val="0"/>
          <w:sz w:val="32"/>
          <w:szCs w:val="32"/>
        </w:rPr>
        <w:t>.0</w:t>
      </w:r>
      <w:r>
        <w:rPr>
          <w:rFonts w:eastAsia="仿宋_GB2312"/>
          <w:snapToGrid w:val="0"/>
          <w:kern w:val="0"/>
          <w:sz w:val="32"/>
          <w:szCs w:val="32"/>
        </w:rPr>
        <w:t>%</w:t>
      </w:r>
      <w:r>
        <w:rPr>
          <w:rFonts w:hint="eastAsia" w:eastAsia="仿宋_GB2312"/>
          <w:snapToGrid w:val="0"/>
          <w:kern w:val="0"/>
          <w:sz w:val="32"/>
          <w:szCs w:val="32"/>
        </w:rPr>
        <w:t>，同比增长21.0</w:t>
      </w:r>
      <w:r>
        <w:rPr>
          <w:rFonts w:eastAsia="仿宋_GB2312"/>
          <w:snapToGrid w:val="0"/>
          <w:kern w:val="0"/>
          <w:sz w:val="32"/>
          <w:szCs w:val="32"/>
        </w:rPr>
        <w:t>%</w:t>
      </w:r>
      <w:r>
        <w:rPr>
          <w:rFonts w:hint="eastAsia" w:eastAsia="仿宋_GB2312"/>
          <w:snapToGrid w:val="0"/>
          <w:kern w:val="0"/>
          <w:sz w:val="32"/>
          <w:szCs w:val="32"/>
        </w:rPr>
        <w:t>，增幅排名全市第二。</w:t>
      </w:r>
    </w:p>
    <w:p>
      <w:pPr>
        <w:overflowPunct w:val="0"/>
        <w:adjustRightInd w:val="0"/>
        <w:snapToGrid w:val="0"/>
        <w:spacing w:line="360" w:lineRule="auto"/>
        <w:ind w:firstLine="630"/>
        <w:rPr>
          <w:rFonts w:eastAsia="仿宋_GB2312"/>
          <w:snapToGrid w:val="0"/>
          <w:kern w:val="0"/>
          <w:sz w:val="32"/>
          <w:szCs w:val="32"/>
        </w:rPr>
      </w:pPr>
      <w:r>
        <w:rPr>
          <w:rFonts w:hint="eastAsia" w:eastAsia="仿宋_GB2312"/>
          <w:snapToGrid w:val="0"/>
          <w:kern w:val="0"/>
          <w:sz w:val="32"/>
          <w:szCs w:val="32"/>
        </w:rPr>
        <w:t>2019年全区完成一般公共预算支出22.76亿元（见附表一</w:t>
      </w:r>
      <w:r>
        <w:rPr>
          <w:snapToGrid w:val="0"/>
          <w:kern w:val="0"/>
          <w:sz w:val="24"/>
        </w:rPr>
        <w:t>-2</w:t>
      </w:r>
      <w:r>
        <w:rPr>
          <w:rFonts w:hint="eastAsia" w:eastAsia="仿宋_GB2312"/>
          <w:snapToGrid w:val="0"/>
          <w:kern w:val="0"/>
          <w:sz w:val="32"/>
          <w:szCs w:val="32"/>
        </w:rPr>
        <w:t>），完成调整预算的99.0</w:t>
      </w:r>
      <w:r>
        <w:rPr>
          <w:rFonts w:eastAsia="仿宋_GB2312"/>
          <w:snapToGrid w:val="0"/>
          <w:kern w:val="0"/>
          <w:sz w:val="32"/>
          <w:szCs w:val="32"/>
        </w:rPr>
        <w:t>%</w:t>
      </w:r>
      <w:r>
        <w:rPr>
          <w:rFonts w:hint="eastAsia" w:eastAsia="仿宋_GB2312"/>
          <w:snapToGrid w:val="0"/>
          <w:kern w:val="0"/>
          <w:sz w:val="32"/>
          <w:szCs w:val="32"/>
        </w:rPr>
        <w:t>，同比增长34.9</w:t>
      </w:r>
      <w:r>
        <w:rPr>
          <w:rFonts w:eastAsia="仿宋_GB2312"/>
          <w:snapToGrid w:val="0"/>
          <w:kern w:val="0"/>
          <w:sz w:val="32"/>
          <w:szCs w:val="32"/>
        </w:rPr>
        <w:t>%</w:t>
      </w:r>
      <w:r>
        <w:rPr>
          <w:rFonts w:hint="eastAsia" w:eastAsia="仿宋_GB2312"/>
          <w:snapToGrid w:val="0"/>
          <w:kern w:val="0"/>
          <w:sz w:val="32"/>
          <w:szCs w:val="32"/>
        </w:rPr>
        <w:t>。</w:t>
      </w:r>
    </w:p>
    <w:p>
      <w:pPr>
        <w:overflowPunct w:val="0"/>
        <w:adjustRightInd w:val="0"/>
        <w:snapToGrid w:val="0"/>
        <w:spacing w:line="360" w:lineRule="auto"/>
        <w:ind w:firstLine="630"/>
        <w:rPr>
          <w:rFonts w:eastAsia="仿宋_GB2312"/>
          <w:snapToGrid w:val="0"/>
          <w:kern w:val="0"/>
          <w:sz w:val="32"/>
          <w:szCs w:val="32"/>
        </w:rPr>
      </w:pPr>
      <w:r>
        <w:rPr>
          <w:rFonts w:hint="eastAsia" w:eastAsia="仿宋_GB2312"/>
          <w:snapToGrid w:val="0"/>
          <w:kern w:val="0"/>
          <w:sz w:val="32"/>
          <w:szCs w:val="32"/>
        </w:rPr>
        <w:t>全区一般公共预算收支总体（平衡）执行情况（见附表一</w:t>
      </w:r>
      <w:r>
        <w:rPr>
          <w:snapToGrid w:val="0"/>
          <w:kern w:val="0"/>
          <w:sz w:val="24"/>
        </w:rPr>
        <w:t>-</w:t>
      </w:r>
      <w:r>
        <w:rPr>
          <w:rFonts w:hint="eastAsia"/>
          <w:snapToGrid w:val="0"/>
          <w:kern w:val="0"/>
          <w:sz w:val="24"/>
        </w:rPr>
        <w:t>4</w:t>
      </w:r>
      <w:r>
        <w:rPr>
          <w:rFonts w:hint="eastAsia" w:eastAsia="仿宋_GB2312"/>
          <w:snapToGrid w:val="0"/>
          <w:kern w:val="0"/>
          <w:sz w:val="32"/>
          <w:szCs w:val="32"/>
        </w:rPr>
        <w:t>）：</w:t>
      </w:r>
      <w:r>
        <w:rPr>
          <w:rFonts w:eastAsia="仿宋_GB2312"/>
          <w:snapToGrid w:val="0"/>
          <w:kern w:val="0"/>
          <w:sz w:val="32"/>
          <w:szCs w:val="32"/>
        </w:rPr>
        <w:t>201</w:t>
      </w:r>
      <w:r>
        <w:rPr>
          <w:rFonts w:hint="eastAsia" w:eastAsia="仿宋_GB2312"/>
          <w:snapToGrid w:val="0"/>
          <w:kern w:val="0"/>
          <w:sz w:val="32"/>
          <w:szCs w:val="32"/>
        </w:rPr>
        <w:t>9年全区一般公共预算收入20.4亿元，转移性收入5.22亿元（包括中央四税返还收入-0.64亿元，省市转移支付收入1.73亿元，动用预算稳定调节基金3.63亿元，调入资金和上年结转项目0.5亿元），收入合计25.62亿元；一般公共预算支出22.76亿元，转移性支出2.86亿元（包括市区体制结算上解支出</w:t>
      </w:r>
      <w:r>
        <w:rPr>
          <w:rFonts w:eastAsia="仿宋_GB2312"/>
          <w:snapToGrid w:val="0"/>
          <w:kern w:val="0"/>
          <w:sz w:val="32"/>
          <w:szCs w:val="32"/>
        </w:rPr>
        <w:t>2.</w:t>
      </w:r>
      <w:r>
        <w:rPr>
          <w:rFonts w:hint="eastAsia" w:eastAsia="仿宋_GB2312"/>
          <w:snapToGrid w:val="0"/>
          <w:kern w:val="0"/>
          <w:sz w:val="32"/>
          <w:szCs w:val="32"/>
        </w:rPr>
        <w:t>41亿元，结转下年项目支出0.45亿元），支出合计25.62亿元。收支相抵，区级一般公共预算收支平衡（最终以</w:t>
      </w:r>
      <w:r>
        <w:rPr>
          <w:rFonts w:eastAsia="仿宋_GB2312"/>
          <w:snapToGrid w:val="0"/>
          <w:kern w:val="0"/>
          <w:sz w:val="32"/>
          <w:szCs w:val="32"/>
        </w:rPr>
        <w:t>201</w:t>
      </w:r>
      <w:r>
        <w:rPr>
          <w:rFonts w:hint="eastAsia" w:eastAsia="仿宋_GB2312"/>
          <w:snapToGrid w:val="0"/>
          <w:kern w:val="0"/>
          <w:sz w:val="32"/>
          <w:szCs w:val="32"/>
        </w:rPr>
        <w:t>9年市区财政体制结算后数据为准）。</w:t>
      </w:r>
    </w:p>
    <w:p>
      <w:pPr>
        <w:overflowPunct w:val="0"/>
        <w:adjustRightInd w:val="0"/>
        <w:snapToGrid w:val="0"/>
        <w:spacing w:line="360" w:lineRule="auto"/>
        <w:ind w:firstLine="630"/>
        <w:rPr>
          <w:rFonts w:eastAsia="仿宋_GB2312"/>
          <w:snapToGrid w:val="0"/>
          <w:kern w:val="0"/>
          <w:sz w:val="32"/>
          <w:szCs w:val="32"/>
        </w:rPr>
      </w:pPr>
      <w:r>
        <w:rPr>
          <w:rFonts w:eastAsia="仿宋_GB2312"/>
          <w:snapToGrid w:val="0"/>
          <w:kern w:val="0"/>
          <w:sz w:val="32"/>
          <w:szCs w:val="32"/>
        </w:rPr>
        <w:t>201</w:t>
      </w:r>
      <w:r>
        <w:rPr>
          <w:rFonts w:hint="eastAsia" w:eastAsia="仿宋_GB2312"/>
          <w:snapToGrid w:val="0"/>
          <w:kern w:val="0"/>
          <w:sz w:val="32"/>
          <w:szCs w:val="32"/>
        </w:rPr>
        <w:t>9年一般公共预算收支执行具体情况如下：</w:t>
      </w:r>
    </w:p>
    <w:p>
      <w:pPr>
        <w:adjustRightInd w:val="0"/>
        <w:snapToGrid w:val="0"/>
        <w:jc w:val="center"/>
        <w:rPr>
          <w:rFonts w:eastAsia="仿宋_GB2312"/>
          <w:snapToGrid w:val="0"/>
          <w:kern w:val="0"/>
          <w:sz w:val="32"/>
          <w:szCs w:val="32"/>
        </w:rPr>
      </w:pPr>
      <w:r>
        <w:rPr>
          <w:rFonts w:ascii="仿宋_GB2312" w:hAnsi="仿宋_GB2312" w:eastAsia="仿宋_GB2312" w:cs="仿宋_GB2312"/>
          <w:sz w:val="32"/>
          <w:szCs w:val="32"/>
        </w:rPr>
        <w:drawing>
          <wp:inline distT="0" distB="0" distL="0" distR="0">
            <wp:extent cx="5229225" cy="2667000"/>
            <wp:effectExtent l="19050" t="0" r="9525" b="0"/>
            <wp:docPr id="9" name="对象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adjustRightInd w:val="0"/>
        <w:snapToGrid w:val="0"/>
        <w:jc w:val="center"/>
        <w:rPr>
          <w:rFonts w:eastAsia="仿宋_GB2312"/>
          <w:snapToGrid w:val="0"/>
          <w:kern w:val="0"/>
          <w:sz w:val="32"/>
          <w:szCs w:val="32"/>
        </w:rPr>
      </w:pPr>
    </w:p>
    <w:p>
      <w:pPr>
        <w:adjustRightInd w:val="0"/>
        <w:snapToGrid w:val="0"/>
        <w:jc w:val="center"/>
        <w:rPr>
          <w:rFonts w:ascii="仿宋_GB2312" w:hAnsi="仿宋_GB2312" w:eastAsia="仿宋_GB2312" w:cs="仿宋_GB2312"/>
          <w:sz w:val="32"/>
          <w:szCs w:val="32"/>
        </w:rPr>
      </w:pPr>
      <w:r>
        <w:rPr>
          <w:rFonts w:ascii="仿宋_GB2312" w:hAnsi="仿宋_GB2312" w:eastAsia="仿宋_GB2312" w:cs="仿宋_GB2312"/>
          <w:sz w:val="32"/>
          <w:szCs w:val="32"/>
        </w:rPr>
        <w:drawing>
          <wp:inline distT="0" distB="0" distL="0" distR="0">
            <wp:extent cx="5200650" cy="2726690"/>
            <wp:effectExtent l="19050" t="0" r="19050" b="0"/>
            <wp:docPr id="8" name="对象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overflowPunct w:val="0"/>
        <w:adjustRightInd w:val="0"/>
        <w:snapToGrid w:val="0"/>
        <w:spacing w:line="360" w:lineRule="auto"/>
        <w:ind w:firstLine="630"/>
        <w:rPr>
          <w:rFonts w:hint="eastAsia" w:eastAsia="仿宋_GB2312"/>
          <w:b/>
          <w:bCs/>
          <w:snapToGrid w:val="0"/>
          <w:kern w:val="0"/>
          <w:sz w:val="32"/>
          <w:szCs w:val="32"/>
        </w:rPr>
      </w:pPr>
      <w:r>
        <w:rPr>
          <w:rFonts w:hint="eastAsia" w:eastAsia="仿宋_GB2312"/>
          <w:b/>
          <w:bCs/>
          <w:snapToGrid w:val="0"/>
          <w:kern w:val="0"/>
          <w:sz w:val="32"/>
          <w:szCs w:val="32"/>
        </w:rPr>
        <w:t>（二）政府性基金预算执行情况</w:t>
      </w:r>
    </w:p>
    <w:p>
      <w:pPr>
        <w:overflowPunct w:val="0"/>
        <w:adjustRightInd w:val="0"/>
        <w:snapToGrid w:val="0"/>
        <w:spacing w:line="360" w:lineRule="auto"/>
        <w:ind w:firstLine="630"/>
        <w:rPr>
          <w:rFonts w:eastAsia="仿宋_GB2312"/>
          <w:snapToGrid w:val="0"/>
          <w:kern w:val="0"/>
          <w:sz w:val="32"/>
          <w:szCs w:val="32"/>
        </w:rPr>
      </w:pPr>
      <w:r>
        <w:rPr>
          <w:rFonts w:hint="eastAsia" w:eastAsia="仿宋_GB2312"/>
          <w:snapToGrid w:val="0"/>
          <w:kern w:val="0"/>
          <w:sz w:val="32"/>
          <w:szCs w:val="32"/>
        </w:rPr>
        <w:t>2019年全区完成政府性基金收入263.23亿元（见附表二</w:t>
      </w:r>
      <w:r>
        <w:rPr>
          <w:snapToGrid w:val="0"/>
          <w:kern w:val="0"/>
          <w:sz w:val="24"/>
        </w:rPr>
        <w:t>-1</w:t>
      </w:r>
      <w:r>
        <w:rPr>
          <w:rFonts w:hint="eastAsia" w:eastAsia="仿宋_GB2312"/>
          <w:snapToGrid w:val="0"/>
          <w:kern w:val="0"/>
          <w:sz w:val="32"/>
          <w:szCs w:val="32"/>
        </w:rPr>
        <w:t>），完成调整预算的100.1%，同比增长1104.0</w:t>
      </w:r>
      <w:r>
        <w:rPr>
          <w:rFonts w:eastAsia="仿宋_GB2312"/>
          <w:snapToGrid w:val="0"/>
          <w:kern w:val="0"/>
          <w:sz w:val="32"/>
          <w:szCs w:val="32"/>
        </w:rPr>
        <w:t>%</w:t>
      </w:r>
      <w:r>
        <w:rPr>
          <w:rFonts w:hint="eastAsia" w:eastAsia="仿宋_GB2312"/>
          <w:snapToGrid w:val="0"/>
          <w:kern w:val="0"/>
          <w:sz w:val="32"/>
          <w:szCs w:val="32"/>
        </w:rPr>
        <w:t>，增加主要原因为围填海一次性收入249.79亿元；其中土地出让金返还收入9.81亿元。</w:t>
      </w:r>
    </w:p>
    <w:p>
      <w:pPr>
        <w:overflowPunct w:val="0"/>
        <w:adjustRightInd w:val="0"/>
        <w:snapToGrid w:val="0"/>
        <w:spacing w:line="360" w:lineRule="auto"/>
        <w:ind w:firstLine="630"/>
        <w:rPr>
          <w:rFonts w:eastAsia="仿宋_GB2312"/>
          <w:snapToGrid w:val="0"/>
          <w:kern w:val="0"/>
          <w:sz w:val="32"/>
          <w:szCs w:val="32"/>
        </w:rPr>
      </w:pPr>
      <w:r>
        <w:rPr>
          <w:rFonts w:hint="eastAsia" w:eastAsia="仿宋_GB2312"/>
          <w:snapToGrid w:val="0"/>
          <w:kern w:val="0"/>
          <w:sz w:val="32"/>
          <w:szCs w:val="32"/>
        </w:rPr>
        <w:t>2019年全区完成政府性基金预算支出270.64亿元（见附表二</w:t>
      </w:r>
      <w:r>
        <w:rPr>
          <w:snapToGrid w:val="0"/>
          <w:kern w:val="0"/>
          <w:sz w:val="24"/>
        </w:rPr>
        <w:t>-2</w:t>
      </w:r>
      <w:r>
        <w:rPr>
          <w:rFonts w:hint="eastAsia" w:eastAsia="仿宋_GB2312"/>
          <w:snapToGrid w:val="0"/>
          <w:kern w:val="0"/>
          <w:sz w:val="32"/>
          <w:szCs w:val="32"/>
        </w:rPr>
        <w:t>），完成调整预算的100.3</w:t>
      </w:r>
      <w:r>
        <w:rPr>
          <w:rFonts w:eastAsia="仿宋_GB2312"/>
          <w:snapToGrid w:val="0"/>
          <w:kern w:val="0"/>
          <w:sz w:val="32"/>
          <w:szCs w:val="32"/>
        </w:rPr>
        <w:t>%</w:t>
      </w:r>
      <w:r>
        <w:rPr>
          <w:rFonts w:hint="eastAsia" w:eastAsia="仿宋_GB2312"/>
          <w:snapToGrid w:val="0"/>
          <w:kern w:val="0"/>
          <w:sz w:val="32"/>
          <w:szCs w:val="32"/>
        </w:rPr>
        <w:t>，同比增长1005.2</w:t>
      </w:r>
      <w:r>
        <w:rPr>
          <w:rFonts w:eastAsia="仿宋_GB2312"/>
          <w:snapToGrid w:val="0"/>
          <w:kern w:val="0"/>
          <w:sz w:val="32"/>
          <w:szCs w:val="32"/>
        </w:rPr>
        <w:t>%</w:t>
      </w:r>
      <w:r>
        <w:rPr>
          <w:rFonts w:hint="eastAsia" w:eastAsia="仿宋_GB2312"/>
          <w:snapToGrid w:val="0"/>
          <w:kern w:val="0"/>
          <w:sz w:val="32"/>
          <w:szCs w:val="32"/>
        </w:rPr>
        <w:t>，增加主要原因为龙湾二期、瓯飞一期围区涂面整理工程代建费支出249.79亿元引起的一次性因素。</w:t>
      </w:r>
    </w:p>
    <w:p>
      <w:pPr>
        <w:overflowPunct w:val="0"/>
        <w:adjustRightInd w:val="0"/>
        <w:snapToGrid w:val="0"/>
        <w:spacing w:line="360" w:lineRule="auto"/>
        <w:ind w:firstLine="630"/>
        <w:rPr>
          <w:rFonts w:eastAsia="仿宋_GB2312"/>
          <w:snapToGrid w:val="0"/>
          <w:kern w:val="0"/>
          <w:sz w:val="32"/>
          <w:szCs w:val="32"/>
        </w:rPr>
      </w:pPr>
      <w:r>
        <w:rPr>
          <w:rFonts w:hint="eastAsia" w:eastAsia="仿宋_GB2312"/>
          <w:snapToGrid w:val="0"/>
          <w:kern w:val="0"/>
          <w:sz w:val="32"/>
          <w:szCs w:val="32"/>
        </w:rPr>
        <w:t>全区政府性基金预算收支总体（平衡）执行情况（见附表二</w:t>
      </w:r>
      <w:r>
        <w:rPr>
          <w:snapToGrid w:val="0"/>
          <w:kern w:val="0"/>
          <w:sz w:val="24"/>
        </w:rPr>
        <w:t>-3</w:t>
      </w:r>
      <w:r>
        <w:rPr>
          <w:rFonts w:hint="eastAsia" w:eastAsia="仿宋_GB2312"/>
          <w:snapToGrid w:val="0"/>
          <w:kern w:val="0"/>
          <w:sz w:val="32"/>
          <w:szCs w:val="32"/>
        </w:rPr>
        <w:t>）：</w:t>
      </w:r>
      <w:r>
        <w:rPr>
          <w:rFonts w:eastAsia="仿宋_GB2312"/>
          <w:snapToGrid w:val="0"/>
          <w:kern w:val="0"/>
          <w:sz w:val="32"/>
          <w:szCs w:val="32"/>
        </w:rPr>
        <w:t>201</w:t>
      </w:r>
      <w:r>
        <w:rPr>
          <w:rFonts w:hint="eastAsia" w:eastAsia="仿宋_GB2312"/>
          <w:snapToGrid w:val="0"/>
          <w:kern w:val="0"/>
          <w:sz w:val="32"/>
          <w:szCs w:val="32"/>
        </w:rPr>
        <w:t>9年全区政府性基金收入263.23亿元，上级补助0.47亿元，调入资金和动用上年结转7.35亿元，收入合计271.05亿元；政府性基金支出270.64亿元，调出资金和结转下年支出0.41亿元，支出合计271.05亿元。收支相抵，区级政府性基金预算收支平衡（最终以</w:t>
      </w:r>
      <w:r>
        <w:rPr>
          <w:rFonts w:eastAsia="仿宋_GB2312"/>
          <w:snapToGrid w:val="0"/>
          <w:kern w:val="0"/>
          <w:sz w:val="32"/>
          <w:szCs w:val="32"/>
        </w:rPr>
        <w:t>201</w:t>
      </w:r>
      <w:r>
        <w:rPr>
          <w:rFonts w:hint="eastAsia" w:eastAsia="仿宋_GB2312"/>
          <w:snapToGrid w:val="0"/>
          <w:kern w:val="0"/>
          <w:sz w:val="32"/>
          <w:szCs w:val="32"/>
        </w:rPr>
        <w:t>9年市区财政体制结算后数据为准）。</w:t>
      </w:r>
    </w:p>
    <w:p>
      <w:pPr>
        <w:overflowPunct w:val="0"/>
        <w:adjustRightInd w:val="0"/>
        <w:snapToGrid w:val="0"/>
        <w:spacing w:line="360" w:lineRule="auto"/>
        <w:ind w:firstLine="630"/>
        <w:rPr>
          <w:rFonts w:hint="eastAsia" w:eastAsia="仿宋_GB2312"/>
          <w:b/>
          <w:bCs/>
          <w:snapToGrid w:val="0"/>
          <w:kern w:val="0"/>
          <w:sz w:val="32"/>
          <w:szCs w:val="32"/>
        </w:rPr>
      </w:pPr>
      <w:r>
        <w:rPr>
          <w:rFonts w:hint="eastAsia" w:eastAsia="仿宋_GB2312"/>
          <w:b/>
          <w:bCs/>
          <w:snapToGrid w:val="0"/>
          <w:kern w:val="0"/>
          <w:sz w:val="32"/>
          <w:szCs w:val="32"/>
        </w:rPr>
        <w:t>（三）国有资本经营预算执行情况</w:t>
      </w:r>
    </w:p>
    <w:p>
      <w:pPr>
        <w:overflowPunct w:val="0"/>
        <w:adjustRightInd w:val="0"/>
        <w:snapToGrid w:val="0"/>
        <w:spacing w:line="360" w:lineRule="auto"/>
        <w:ind w:firstLine="630"/>
        <w:rPr>
          <w:rFonts w:eastAsia="仿宋_GB2312"/>
          <w:snapToGrid w:val="0"/>
          <w:kern w:val="0"/>
          <w:sz w:val="32"/>
          <w:szCs w:val="32"/>
        </w:rPr>
      </w:pPr>
      <w:r>
        <w:rPr>
          <w:rFonts w:eastAsia="仿宋_GB2312"/>
          <w:snapToGrid w:val="0"/>
          <w:kern w:val="0"/>
          <w:sz w:val="32"/>
          <w:szCs w:val="32"/>
        </w:rPr>
        <w:t>201</w:t>
      </w:r>
      <w:r>
        <w:rPr>
          <w:rFonts w:hint="eastAsia" w:eastAsia="仿宋_GB2312"/>
          <w:snapToGrid w:val="0"/>
          <w:kern w:val="0"/>
          <w:sz w:val="32"/>
          <w:szCs w:val="32"/>
        </w:rPr>
        <w:t>9年国有公司无利润上交，国有资本经营收支预算为零。</w:t>
      </w:r>
    </w:p>
    <w:p>
      <w:pPr>
        <w:overflowPunct w:val="0"/>
        <w:adjustRightInd w:val="0"/>
        <w:snapToGrid w:val="0"/>
        <w:spacing w:line="360" w:lineRule="auto"/>
        <w:ind w:firstLine="630"/>
        <w:rPr>
          <w:rFonts w:hint="eastAsia" w:eastAsia="仿宋_GB2312"/>
          <w:b/>
          <w:bCs/>
          <w:snapToGrid w:val="0"/>
          <w:kern w:val="0"/>
          <w:sz w:val="32"/>
          <w:szCs w:val="32"/>
        </w:rPr>
      </w:pPr>
      <w:r>
        <w:rPr>
          <w:rFonts w:hint="eastAsia" w:eastAsia="仿宋_GB2312"/>
          <w:b/>
          <w:bCs/>
          <w:snapToGrid w:val="0"/>
          <w:kern w:val="0"/>
          <w:sz w:val="32"/>
          <w:szCs w:val="32"/>
        </w:rPr>
        <w:t>（四）社会保险基金预算执行情况</w:t>
      </w:r>
    </w:p>
    <w:p>
      <w:pPr>
        <w:overflowPunct w:val="0"/>
        <w:adjustRightInd w:val="0"/>
        <w:snapToGrid w:val="0"/>
        <w:spacing w:line="360" w:lineRule="auto"/>
        <w:ind w:firstLine="630"/>
        <w:rPr>
          <w:rFonts w:eastAsia="仿宋_GB2312"/>
          <w:snapToGrid w:val="0"/>
          <w:kern w:val="0"/>
          <w:sz w:val="32"/>
          <w:szCs w:val="32"/>
        </w:rPr>
      </w:pPr>
      <w:r>
        <w:rPr>
          <w:rFonts w:hint="eastAsia" w:eastAsia="仿宋_GB2312"/>
          <w:snapToGrid w:val="0"/>
          <w:kern w:val="0"/>
          <w:sz w:val="32"/>
          <w:szCs w:val="32"/>
        </w:rPr>
        <w:t>2019年，我区社会保险基金纳入市级社会保险基金预算。</w:t>
      </w:r>
    </w:p>
    <w:p>
      <w:pPr>
        <w:overflowPunct w:val="0"/>
        <w:adjustRightInd w:val="0"/>
        <w:snapToGrid w:val="0"/>
        <w:spacing w:line="360" w:lineRule="auto"/>
        <w:ind w:firstLine="630"/>
        <w:rPr>
          <w:rFonts w:hint="eastAsia" w:eastAsia="仿宋_GB2312"/>
          <w:b/>
          <w:bCs/>
          <w:snapToGrid w:val="0"/>
          <w:kern w:val="0"/>
          <w:sz w:val="32"/>
          <w:szCs w:val="32"/>
        </w:rPr>
      </w:pPr>
      <w:r>
        <w:rPr>
          <w:rFonts w:hint="eastAsia" w:eastAsia="仿宋_GB2312"/>
          <w:b/>
          <w:bCs/>
          <w:snapToGrid w:val="0"/>
          <w:kern w:val="0"/>
          <w:sz w:val="32"/>
          <w:szCs w:val="32"/>
        </w:rPr>
        <w:t>（五）政府性债务情况</w:t>
      </w:r>
    </w:p>
    <w:p>
      <w:pPr>
        <w:overflowPunct w:val="0"/>
        <w:adjustRightInd w:val="0"/>
        <w:snapToGrid w:val="0"/>
        <w:spacing w:line="360" w:lineRule="auto"/>
        <w:ind w:firstLine="630"/>
        <w:rPr>
          <w:rFonts w:eastAsia="仿宋_GB2312"/>
          <w:snapToGrid w:val="0"/>
          <w:kern w:val="0"/>
          <w:sz w:val="32"/>
          <w:szCs w:val="32"/>
        </w:rPr>
      </w:pPr>
      <w:r>
        <w:rPr>
          <w:rFonts w:hint="eastAsia" w:eastAsia="仿宋_GB2312"/>
          <w:snapToGrid w:val="0"/>
          <w:kern w:val="0"/>
          <w:sz w:val="32"/>
          <w:szCs w:val="32"/>
        </w:rPr>
        <w:t>根据预算法和国务院有关文件规定，对地方政府债务余额实施限额管理。按照市财政局核定的我区债务限额，截至2019年底我区政府性债务限额</w:t>
      </w:r>
      <w:r>
        <w:rPr>
          <w:rFonts w:eastAsia="仿宋_GB2312"/>
          <w:snapToGrid w:val="0"/>
          <w:kern w:val="0"/>
          <w:sz w:val="32"/>
          <w:szCs w:val="32"/>
        </w:rPr>
        <w:t>6</w:t>
      </w:r>
      <w:r>
        <w:rPr>
          <w:rFonts w:hint="eastAsia" w:eastAsia="仿宋_GB2312"/>
          <w:snapToGrid w:val="0"/>
          <w:kern w:val="0"/>
          <w:sz w:val="32"/>
          <w:szCs w:val="32"/>
        </w:rPr>
        <w:t>亿元，其中一般债务限额2亿元，专项债务限额4亿元。政府性债务余额</w:t>
      </w:r>
      <w:r>
        <w:rPr>
          <w:rFonts w:eastAsia="仿宋_GB2312"/>
          <w:snapToGrid w:val="0"/>
          <w:kern w:val="0"/>
          <w:sz w:val="32"/>
          <w:szCs w:val="32"/>
        </w:rPr>
        <w:t>6</w:t>
      </w:r>
      <w:r>
        <w:rPr>
          <w:rFonts w:hint="eastAsia" w:eastAsia="仿宋_GB2312"/>
          <w:snapToGrid w:val="0"/>
          <w:kern w:val="0"/>
          <w:sz w:val="32"/>
          <w:szCs w:val="32"/>
        </w:rPr>
        <w:t>亿元，其中一般债务余额2亿元，专项债务余额4亿元。</w:t>
      </w:r>
    </w:p>
    <w:p>
      <w:pPr>
        <w:overflowPunct w:val="0"/>
        <w:adjustRightInd w:val="0"/>
        <w:snapToGrid w:val="0"/>
        <w:spacing w:line="360" w:lineRule="auto"/>
        <w:ind w:firstLine="630"/>
        <w:rPr>
          <w:rFonts w:hint="eastAsia" w:eastAsia="仿宋_GB2312"/>
          <w:b/>
          <w:bCs/>
          <w:snapToGrid w:val="0"/>
          <w:kern w:val="0"/>
          <w:sz w:val="32"/>
          <w:szCs w:val="32"/>
        </w:rPr>
      </w:pPr>
      <w:r>
        <w:rPr>
          <w:rFonts w:hint="eastAsia" w:eastAsia="仿宋_GB2312"/>
          <w:b/>
          <w:bCs/>
          <w:snapToGrid w:val="0"/>
          <w:kern w:val="0"/>
          <w:sz w:val="32"/>
          <w:szCs w:val="32"/>
        </w:rPr>
        <w:t>（六）三公经费执行情况</w:t>
      </w:r>
    </w:p>
    <w:p>
      <w:pPr>
        <w:ind w:firstLine="640" w:firstLineChars="200"/>
        <w:rPr>
          <w:rFonts w:eastAsia="仿宋_GB2312"/>
          <w:snapToGrid w:val="0"/>
          <w:kern w:val="0"/>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9年我区一般公共预算“三公”经费支出427.88万元，比</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8年执行数增长17.7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，未超</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9年预算数。其中，因公出国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费8.45万元，同比下降41.5</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公务接待费28.24万元，与上年执行数基本持平</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公务用车购置及运行费391.19万元，同比增长21.1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，未超</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9年预算数。其中，公务用车购置费142.49万元，同比增长43.6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，增加主要原因是</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9年综合行政执法局新增购置特种专业技术用车3辆；公务用车运行维护费248.69万元，同比增长11.1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，增加主要原因是车辆数增加导致车辆油费费用增多，以及车辆维修次数增多增加了相应的费用，但总体未超2019年预算数。</w:t>
      </w:r>
    </w:p>
    <w:p>
      <w:pPr>
        <w:overflowPunct w:val="0"/>
        <w:adjustRightInd w:val="0"/>
        <w:snapToGrid w:val="0"/>
        <w:spacing w:line="360" w:lineRule="auto"/>
        <w:ind w:firstLine="630"/>
        <w:rPr>
          <w:rFonts w:eastAsia="黑体"/>
          <w:bCs/>
          <w:snapToGrid w:val="0"/>
          <w:kern w:val="0"/>
          <w:sz w:val="32"/>
          <w:szCs w:val="32"/>
        </w:rPr>
      </w:pPr>
      <w:r>
        <w:rPr>
          <w:rFonts w:hint="eastAsia" w:eastAsia="黑体"/>
          <w:bCs/>
          <w:snapToGrid w:val="0"/>
          <w:kern w:val="0"/>
          <w:sz w:val="32"/>
          <w:szCs w:val="32"/>
        </w:rPr>
        <w:t>二、</w:t>
      </w:r>
      <w:r>
        <w:rPr>
          <w:rFonts w:eastAsia="黑体"/>
          <w:bCs/>
          <w:snapToGrid w:val="0"/>
          <w:kern w:val="0"/>
          <w:sz w:val="32"/>
          <w:szCs w:val="32"/>
        </w:rPr>
        <w:t>201</w:t>
      </w:r>
      <w:r>
        <w:rPr>
          <w:rFonts w:hint="eastAsia" w:eastAsia="黑体"/>
          <w:bCs/>
          <w:snapToGrid w:val="0"/>
          <w:kern w:val="0"/>
          <w:sz w:val="32"/>
          <w:szCs w:val="32"/>
        </w:rPr>
        <w:t>9年财政主要工作成效</w:t>
      </w:r>
    </w:p>
    <w:p>
      <w:pPr>
        <w:overflowPunct w:val="0"/>
        <w:adjustRightInd w:val="0"/>
        <w:snapToGrid w:val="0"/>
        <w:spacing w:line="360" w:lineRule="auto"/>
        <w:ind w:firstLine="630"/>
        <w:rPr>
          <w:rFonts w:eastAsia="仿宋_GB2312"/>
          <w:snapToGrid w:val="0"/>
          <w:kern w:val="0"/>
          <w:sz w:val="32"/>
          <w:szCs w:val="32"/>
        </w:rPr>
      </w:pPr>
      <w:r>
        <w:rPr>
          <w:rFonts w:hint="eastAsia" w:eastAsia="仿宋_GB2312"/>
          <w:snapToGrid w:val="0"/>
          <w:kern w:val="0"/>
          <w:sz w:val="32"/>
          <w:szCs w:val="32"/>
        </w:rPr>
        <w:t>2019年，我区财政紧紧围绕市局、管委会的决策部署，聚焦两区建设，精心组织财政收入，不断优化收入结构，提高服务保障水平，为推进我区高质量发展提供有力支持。主要工作成效如下：</w:t>
      </w:r>
    </w:p>
    <w:p>
      <w:pPr>
        <w:overflowPunct w:val="0"/>
        <w:adjustRightInd w:val="0"/>
        <w:snapToGrid w:val="0"/>
        <w:spacing w:line="360" w:lineRule="auto"/>
        <w:ind w:firstLine="630"/>
        <w:rPr>
          <w:rFonts w:eastAsia="仿宋_GB2312"/>
          <w:snapToGrid w:val="0"/>
          <w:kern w:val="0"/>
          <w:sz w:val="32"/>
          <w:szCs w:val="32"/>
        </w:rPr>
      </w:pPr>
      <w:r>
        <w:rPr>
          <w:rFonts w:hint="eastAsia" w:eastAsia="仿宋_GB2312"/>
          <w:b/>
          <w:bCs/>
          <w:snapToGrid w:val="0"/>
          <w:kern w:val="0"/>
          <w:sz w:val="32"/>
          <w:szCs w:val="32"/>
        </w:rPr>
        <w:t>（一）积极稳妥做好财政组织收入，全面加强预算收支管理，实现财政运行整体平稳有序。</w:t>
      </w:r>
      <w:r>
        <w:rPr>
          <w:rFonts w:hint="eastAsia" w:eastAsia="仿宋_GB2312"/>
          <w:snapToGrid w:val="0"/>
          <w:kern w:val="0"/>
          <w:sz w:val="32"/>
          <w:szCs w:val="32"/>
        </w:rPr>
        <w:t>一是强化分析，优化收入结构。2019全区财政总收入33.89亿元，同比增长17.8%。税收收入占一般公共预算收入同口径比重为84.1%，同比提升0.1个百分点，收入结构有效优化。二是强化预算全过程管理，优化支出结构。牢固树立过“紧日子”思想，全年压减一般性支出10%，同时坚持“追加是例外，不追加是常态”的原则，严格控制追加预算，在保工资保运转的前提下，对涉及民生、企业补助及大干交通重大项目等领域加大保障力度，支出结构有效优化。</w:t>
      </w:r>
    </w:p>
    <w:p>
      <w:pPr>
        <w:overflowPunct w:val="0"/>
        <w:adjustRightInd w:val="0"/>
        <w:snapToGrid w:val="0"/>
        <w:spacing w:line="360" w:lineRule="auto"/>
        <w:ind w:firstLine="630"/>
        <w:rPr>
          <w:rFonts w:eastAsia="仿宋_GB2312"/>
          <w:snapToGrid w:val="0"/>
          <w:kern w:val="0"/>
          <w:sz w:val="32"/>
          <w:szCs w:val="32"/>
        </w:rPr>
      </w:pPr>
      <w:r>
        <w:rPr>
          <w:rFonts w:hint="eastAsia" w:eastAsia="仿宋_GB2312"/>
          <w:b/>
          <w:bCs/>
          <w:snapToGrid w:val="0"/>
          <w:kern w:val="0"/>
          <w:sz w:val="32"/>
          <w:szCs w:val="32"/>
        </w:rPr>
        <w:t>（二）全面构建集中财力办大事政策体系，切实提高资金使用效益，保障经济社会高质量发展。</w:t>
      </w:r>
      <w:r>
        <w:rPr>
          <w:rFonts w:hint="eastAsia" w:eastAsia="仿宋_GB2312"/>
          <w:snapToGrid w:val="0"/>
          <w:kern w:val="0"/>
          <w:sz w:val="32"/>
          <w:szCs w:val="32"/>
        </w:rPr>
        <w:t>制定构建集中财力办大事财政政策体系方案，从专项项目、奖补政策入手，按照精准、绩效、有为的原则，对照上级重大决策部署，评估三年财政中长期规划编制的合理性必要性，修正预算安排，做到有的放矢、精准发力。对现有专项项目进行梳理整合，系统构建财政政策体系，共梳理专项项目646个，梳理整合后专项项目298个，减少348个。根据测算，2020-2022年可用财力132亿元，其中用于省三大攻坚战及十大富民强省行动计划经费91亿元。</w:t>
      </w:r>
    </w:p>
    <w:p>
      <w:pPr>
        <w:overflowPunct w:val="0"/>
        <w:adjustRightInd w:val="0"/>
        <w:snapToGrid w:val="0"/>
        <w:spacing w:line="360" w:lineRule="auto"/>
        <w:ind w:firstLine="630"/>
        <w:rPr>
          <w:rFonts w:eastAsia="仿宋_GB2312"/>
          <w:snapToGrid w:val="0"/>
          <w:kern w:val="0"/>
          <w:sz w:val="32"/>
          <w:szCs w:val="32"/>
        </w:rPr>
      </w:pPr>
      <w:r>
        <w:rPr>
          <w:rFonts w:hint="eastAsia" w:eastAsia="仿宋_GB2312"/>
          <w:b/>
          <w:bCs/>
          <w:snapToGrid w:val="0"/>
          <w:kern w:val="0"/>
          <w:sz w:val="32"/>
          <w:szCs w:val="32"/>
        </w:rPr>
        <w:t>（三）围绕民生大事急事难事，加大财政投入力度，精准发力、补上短板。一是支持教育、文体事业发展。</w:t>
      </w:r>
      <w:r>
        <w:rPr>
          <w:rFonts w:hint="eastAsia" w:eastAsia="仿宋_GB2312"/>
          <w:snapToGrid w:val="0"/>
          <w:kern w:val="0"/>
          <w:sz w:val="32"/>
          <w:szCs w:val="32"/>
        </w:rPr>
        <w:t>投入1.1亿元，重点用于金海一小、丁山一小、海城实验幼儿园、沙城二幼园区及街道文化站建设，各街道老校舍的扩建、大型修缮，保障籀园小学、绣山中学等市级优质资源引进后顺利运转，加大民办教育财政经费保障力度。二是支持社会保障事业发展。投入0.8亿元，重点用于城乡居民医疗保险区级承担、优抚补助、社会救助、残疾人补助、计划生育养老保险等。投入0.6亿元，重点用于天河街道、沙城街道社区卫生服务中心病房楼建设，基层卫生服务机构硬件优化投入，医联体合作经费支出，购买基本公共卫生服务和医疗服务等支出。</w:t>
      </w:r>
    </w:p>
    <w:p>
      <w:pPr>
        <w:overflowPunct w:val="0"/>
        <w:adjustRightInd w:val="0"/>
        <w:snapToGrid w:val="0"/>
        <w:spacing w:line="360" w:lineRule="auto"/>
        <w:ind w:firstLine="630"/>
        <w:rPr>
          <w:rFonts w:eastAsia="仿宋_GB2312"/>
          <w:snapToGrid w:val="0"/>
          <w:kern w:val="0"/>
          <w:sz w:val="32"/>
          <w:szCs w:val="32"/>
        </w:rPr>
      </w:pPr>
      <w:r>
        <w:rPr>
          <w:rFonts w:hint="eastAsia" w:eastAsia="仿宋_GB2312"/>
          <w:b/>
          <w:bCs/>
          <w:snapToGrid w:val="0"/>
          <w:kern w:val="0"/>
          <w:sz w:val="32"/>
          <w:szCs w:val="32"/>
        </w:rPr>
        <w:t>（四）加大企业扶持力度，活化要素精准施策，推进民营经济高质量发展。</w:t>
      </w:r>
      <w:r>
        <w:rPr>
          <w:rFonts w:hint="eastAsia" w:eastAsia="仿宋_GB2312"/>
          <w:snapToGrid w:val="0"/>
          <w:kern w:val="0"/>
          <w:sz w:val="32"/>
          <w:szCs w:val="32"/>
        </w:rPr>
        <w:t>一是资金保障有力。2019年度全年奖补资金达4亿元，创历史新高。支持企业上市，拨付上市风险共担基金0.2亿元，缓解企业上市资金压力。二是基金运作有效。积极运作产业基金，投出子基金2支，累计投出项目19个，投资金额2.96亿元。设立规模1亿元的科创基金，专项用于科技创新领域投资。三是政策服务有方。整合产业政策，建立“1+X”的区级政策体系，出台《开发区工业服务业高质量发展若干政策意见》38条区级扶持政策，出台建筑业、律师行业、海创园管理办法等新的区级优惠政策，加大助企力度。四是平台搭建有为。引入中德智能制造创新研究院，依托德国顶级行业专家、先进科研成果、成熟行业经验等为企业智能化转型提供全方位支撑，为推动“温州制造”向“温州智造”打下坚实基础。</w:t>
      </w:r>
    </w:p>
    <w:p>
      <w:pPr>
        <w:overflowPunct w:val="0"/>
        <w:adjustRightInd w:val="0"/>
        <w:snapToGrid w:val="0"/>
        <w:spacing w:line="360" w:lineRule="auto"/>
        <w:ind w:firstLine="630"/>
        <w:rPr>
          <w:rFonts w:eastAsia="仿宋_GB2312"/>
          <w:snapToGrid w:val="0"/>
          <w:kern w:val="0"/>
          <w:sz w:val="32"/>
          <w:szCs w:val="32"/>
        </w:rPr>
      </w:pPr>
      <w:r>
        <w:rPr>
          <w:rFonts w:hint="eastAsia" w:eastAsia="仿宋_GB2312"/>
          <w:b/>
          <w:bCs/>
          <w:snapToGrid w:val="0"/>
          <w:kern w:val="0"/>
          <w:sz w:val="32"/>
          <w:szCs w:val="32"/>
        </w:rPr>
        <w:t>（五）充分发挥职能作用，积极筹措资金，切实保障重大项目建设。一</w:t>
      </w:r>
      <w:r>
        <w:rPr>
          <w:rFonts w:hint="eastAsia" w:eastAsia="仿宋_GB2312"/>
          <w:snapToGrid w:val="0"/>
          <w:kern w:val="0"/>
          <w:sz w:val="32"/>
          <w:szCs w:val="32"/>
        </w:rPr>
        <w:t>是筹措资金助力区域发展，大干交通。2019年我区共完成基本建设支出13.02亿元，用于交通基础设施建设10亿元。新川大道二期、环山南路征地拆迁已近尾声，通海大道拆迁正顺利推进，二十一路征地工作也即将完成，市域铁路S2线已开工建设，沈海高速复线经开区段已建成通车，环山东路也已经交工验收。二是防范化解政府性债务风险，积极上报政府发债需求。加大政府债发行需求，积极谋划专项债项目，上报发债项目14个，债券需求56.4亿元，其中一般债项目7个，债券需求26.2亿元，专项债项目7个，债券需求30.2亿元，远远超过上年债券上报项目数和规模。经过争取，瓯飞一期围垦工程区块四项目已明确获得3亿元债券额度，滨海核心区基础设施建设、乐育学校项目及时根据政策变化，调整制定备选发债方案后上报省财政厅。</w:t>
      </w:r>
    </w:p>
    <w:p>
      <w:pPr>
        <w:overflowPunct w:val="0"/>
        <w:adjustRightInd w:val="0"/>
        <w:snapToGrid w:val="0"/>
        <w:spacing w:line="360" w:lineRule="auto"/>
        <w:ind w:firstLine="630"/>
        <w:rPr>
          <w:rFonts w:eastAsia="仿宋_GB2312"/>
          <w:snapToGrid w:val="0"/>
          <w:kern w:val="0"/>
          <w:sz w:val="32"/>
          <w:szCs w:val="32"/>
        </w:rPr>
      </w:pPr>
      <w:r>
        <w:rPr>
          <w:rFonts w:hint="eastAsia" w:eastAsia="仿宋_GB2312"/>
          <w:b/>
          <w:bCs/>
          <w:snapToGrid w:val="0"/>
          <w:kern w:val="0"/>
          <w:sz w:val="32"/>
          <w:szCs w:val="32"/>
        </w:rPr>
        <w:t>（六）持续完善绩效管理，借助多方力量，开创财政改革新局面。</w:t>
      </w:r>
      <w:r>
        <w:rPr>
          <w:rFonts w:hint="eastAsia" w:eastAsia="仿宋_GB2312"/>
          <w:snapToGrid w:val="0"/>
          <w:kern w:val="0"/>
          <w:sz w:val="32"/>
          <w:szCs w:val="32"/>
        </w:rPr>
        <w:t>一是绩效自评全覆盖，2019年对管委会所属33家行政事业单位所有部门专项开展绩效自评。同时通过随机方式选取文教体工作局等8家预算单位，56个预算项目开展绩效复评，涉及资金1.84亿元。评价结果为优的2家单位，良的单位6家单位，部门绩效情况较往年有所提高。二是多方合力，做好“资金卫士，投资参谋”，2019年，我局积极借力协审中介和财务监理，办理结算审核项目168个，送审造价1.46亿元，审定造价1.32亿元，核减造价0.14亿元，核减率为9.9%。三是财务监理作用发挥更充分，2019年完成新一轮财务监理招标，新招入的3家财务监理机构，实现建设领域专业全覆盖，强化专业技术人员服务支持。出台《温州经济技术开发区政府投资项目财务监理管理办法》，扩大了纳入财务监理的工程范围从500万以上扩大到100万以上工程项目。拓展财务监理工作内容自前期项目可行性研究报告获批复后至竣工财务决算期间的工程估算、概算、预算、结算、决算及全过程造价咨询监督管理等。</w:t>
      </w:r>
    </w:p>
    <w:p>
      <w:pPr>
        <w:overflowPunct w:val="0"/>
        <w:adjustRightInd w:val="0"/>
        <w:snapToGrid w:val="0"/>
        <w:spacing w:line="360" w:lineRule="auto"/>
        <w:ind w:firstLine="630"/>
        <w:rPr>
          <w:rFonts w:eastAsia="黑体"/>
          <w:bCs/>
          <w:snapToGrid w:val="0"/>
          <w:kern w:val="0"/>
          <w:sz w:val="32"/>
          <w:szCs w:val="32"/>
        </w:rPr>
      </w:pPr>
      <w:r>
        <w:rPr>
          <w:rFonts w:hint="eastAsia" w:eastAsia="黑体"/>
          <w:bCs/>
          <w:snapToGrid w:val="0"/>
          <w:kern w:val="0"/>
          <w:sz w:val="32"/>
          <w:szCs w:val="32"/>
        </w:rPr>
        <w:t>三、2020年区级预算草案</w:t>
      </w:r>
    </w:p>
    <w:p>
      <w:pPr>
        <w:adjustRightInd w:val="0"/>
        <w:snapToGrid w:val="0"/>
        <w:spacing w:line="560" w:lineRule="exact"/>
        <w:ind w:firstLine="640" w:firstLineChars="200"/>
        <w:rPr>
          <w:rFonts w:eastAsia="仿宋_GB2312"/>
          <w:snapToGrid w:val="0"/>
          <w:kern w:val="0"/>
          <w:sz w:val="32"/>
          <w:szCs w:val="32"/>
        </w:rPr>
      </w:pPr>
      <w:r>
        <w:rPr>
          <w:rFonts w:hint="eastAsia" w:eastAsia="仿宋_GB2312"/>
          <w:snapToGrid w:val="0"/>
          <w:kern w:val="0"/>
          <w:sz w:val="32"/>
          <w:szCs w:val="32"/>
        </w:rPr>
        <w:t>2020年是全面建成小康社会和</w:t>
      </w:r>
      <w:r>
        <w:rPr>
          <w:rFonts w:eastAsia="仿宋_GB2312"/>
          <w:snapToGrid w:val="0"/>
          <w:kern w:val="0"/>
          <w:sz w:val="32"/>
          <w:szCs w:val="32"/>
        </w:rPr>
        <w:t>“十三五”规划收官</w:t>
      </w:r>
      <w:r>
        <w:rPr>
          <w:rFonts w:hint="eastAsia" w:eastAsia="仿宋_GB2312"/>
          <w:snapToGrid w:val="0"/>
          <w:kern w:val="0"/>
          <w:sz w:val="32"/>
          <w:szCs w:val="32"/>
        </w:rPr>
        <w:t>之年，做好财政工作意义重大。根据面临的财政经济形势，2020年预算安排的指导思想是：坚持以习近平新时代中国特色社会主义思想为指导，认真贯彻落实党的十九届四中全会、</w:t>
      </w:r>
      <w:r>
        <w:rPr>
          <w:rFonts w:eastAsia="仿宋_GB2312"/>
          <w:snapToGrid w:val="0"/>
          <w:kern w:val="0"/>
          <w:sz w:val="32"/>
          <w:szCs w:val="32"/>
        </w:rPr>
        <w:t>省委十四届六次全会</w:t>
      </w:r>
      <w:r>
        <w:rPr>
          <w:rFonts w:hint="eastAsia" w:eastAsia="仿宋_GB2312"/>
          <w:snapToGrid w:val="0"/>
          <w:kern w:val="0"/>
          <w:sz w:val="32"/>
          <w:szCs w:val="32"/>
        </w:rPr>
        <w:t>和市委十二届九次全会精神，以落实市委市政府决策部署为着力点，坚持稳中求进工作总基调，落实</w:t>
      </w:r>
      <w:r>
        <w:rPr>
          <w:rFonts w:eastAsia="仿宋_GB2312"/>
          <w:snapToGrid w:val="0"/>
          <w:kern w:val="0"/>
          <w:sz w:val="32"/>
          <w:szCs w:val="32"/>
        </w:rPr>
        <w:t>积极的财政政策，更加注重结构调整。要把减税降费政策落实落细，在执行过程中深化完善，力求更好成效。坚持“以收定支”，从严从紧管好财政支出，加强预算绩效管理，做到花钱要问效</w:t>
      </w:r>
      <w:r>
        <w:rPr>
          <w:rFonts w:hint="eastAsia" w:eastAsia="仿宋_GB2312"/>
          <w:snapToGrid w:val="0"/>
          <w:kern w:val="0"/>
          <w:sz w:val="32"/>
          <w:szCs w:val="32"/>
        </w:rPr>
        <w:t>。按照“奋战1161、奋进2020”的要求，自觉扛起“五主使命”和“四平台一窗口”的新担当，深入实施“六重”清单，以“招商十招”为导向持续对接大战略，以开放型经济为抓手助推国家级开发区创新提升，以党建为引领推进区域治理体系和治理能力现代化，全力提供财政支持和保障作用。</w:t>
      </w:r>
    </w:p>
    <w:p>
      <w:pPr>
        <w:adjustRightInd w:val="0"/>
        <w:snapToGrid w:val="0"/>
        <w:spacing w:line="560" w:lineRule="exact"/>
        <w:ind w:firstLine="640" w:firstLineChars="200"/>
        <w:rPr>
          <w:rFonts w:eastAsia="仿宋_GB2312"/>
          <w:snapToGrid w:val="0"/>
          <w:kern w:val="0"/>
          <w:sz w:val="32"/>
          <w:szCs w:val="32"/>
        </w:rPr>
      </w:pPr>
      <w:r>
        <w:rPr>
          <w:rFonts w:hint="eastAsia" w:eastAsia="仿宋_GB2312"/>
          <w:snapToGrid w:val="0"/>
          <w:kern w:val="0"/>
          <w:sz w:val="32"/>
          <w:szCs w:val="32"/>
        </w:rPr>
        <w:t>按照上述指导思想和全区经济社会发展计划目标，确定2020年预算目标如下：</w:t>
      </w:r>
    </w:p>
    <w:p>
      <w:pPr>
        <w:overflowPunct w:val="0"/>
        <w:adjustRightInd w:val="0"/>
        <w:snapToGrid w:val="0"/>
        <w:spacing w:line="360" w:lineRule="auto"/>
        <w:ind w:firstLine="630"/>
        <w:rPr>
          <w:rFonts w:eastAsia="楷体_GB2312"/>
          <w:b/>
          <w:bCs/>
          <w:snapToGrid w:val="0"/>
          <w:kern w:val="0"/>
          <w:sz w:val="32"/>
          <w:szCs w:val="32"/>
        </w:rPr>
      </w:pPr>
      <w:r>
        <w:rPr>
          <w:rFonts w:hint="eastAsia" w:eastAsia="仿宋_GB2312"/>
          <w:b/>
          <w:bCs/>
          <w:snapToGrid w:val="0"/>
          <w:kern w:val="0"/>
          <w:sz w:val="32"/>
          <w:szCs w:val="32"/>
        </w:rPr>
        <w:t>（一）2020年一般公共预算草案</w:t>
      </w:r>
    </w:p>
    <w:p>
      <w:pPr>
        <w:overflowPunct w:val="0"/>
        <w:adjustRightInd w:val="0"/>
        <w:snapToGrid w:val="0"/>
        <w:spacing w:line="360" w:lineRule="auto"/>
        <w:ind w:firstLine="640" w:firstLineChars="200"/>
        <w:rPr>
          <w:rFonts w:eastAsia="仿宋_GB2312"/>
          <w:snapToGrid w:val="0"/>
          <w:kern w:val="0"/>
          <w:sz w:val="32"/>
          <w:szCs w:val="32"/>
        </w:rPr>
      </w:pPr>
      <w:r>
        <w:rPr>
          <w:rFonts w:eastAsia="仿宋_GB2312"/>
          <w:snapToGrid w:val="0"/>
          <w:kern w:val="0"/>
          <w:sz w:val="32"/>
          <w:szCs w:val="32"/>
        </w:rPr>
        <w:t>20</w:t>
      </w:r>
      <w:r>
        <w:rPr>
          <w:rFonts w:hint="eastAsia" w:eastAsia="仿宋_GB2312"/>
          <w:snapToGrid w:val="0"/>
          <w:kern w:val="0"/>
          <w:sz w:val="32"/>
          <w:szCs w:val="32"/>
        </w:rPr>
        <w:t>20年拟安排一般公共预算收入23.46亿元（见附表一</w:t>
      </w:r>
      <w:r>
        <w:rPr>
          <w:snapToGrid w:val="0"/>
          <w:kern w:val="0"/>
          <w:sz w:val="24"/>
        </w:rPr>
        <w:t>-1</w:t>
      </w:r>
      <w:r>
        <w:rPr>
          <w:rFonts w:hint="eastAsia" w:eastAsia="仿宋_GB2312"/>
          <w:snapToGrid w:val="0"/>
          <w:kern w:val="0"/>
          <w:sz w:val="32"/>
          <w:szCs w:val="32"/>
        </w:rPr>
        <w:t>），同比增长15.0</w:t>
      </w:r>
      <w:r>
        <w:rPr>
          <w:rFonts w:eastAsia="仿宋_GB2312"/>
          <w:snapToGrid w:val="0"/>
          <w:kern w:val="0"/>
          <w:sz w:val="32"/>
          <w:szCs w:val="32"/>
        </w:rPr>
        <w:t>%</w:t>
      </w:r>
      <w:r>
        <w:rPr>
          <w:rFonts w:hint="eastAsia" w:eastAsia="仿宋_GB2312"/>
          <w:snapToGrid w:val="0"/>
          <w:kern w:val="0"/>
          <w:sz w:val="32"/>
          <w:szCs w:val="32"/>
        </w:rPr>
        <w:t>。</w:t>
      </w:r>
    </w:p>
    <w:p>
      <w:pPr>
        <w:overflowPunct w:val="0"/>
        <w:adjustRightInd w:val="0"/>
        <w:snapToGrid w:val="0"/>
        <w:spacing w:line="360" w:lineRule="auto"/>
        <w:ind w:firstLine="640" w:firstLineChars="200"/>
        <w:rPr>
          <w:rFonts w:eastAsia="仿宋_GB2312"/>
          <w:snapToGrid w:val="0"/>
          <w:kern w:val="0"/>
          <w:sz w:val="32"/>
          <w:szCs w:val="32"/>
        </w:rPr>
      </w:pPr>
      <w:r>
        <w:rPr>
          <w:rFonts w:hint="eastAsia" w:eastAsia="仿宋_GB2312"/>
          <w:snapToGrid w:val="0"/>
          <w:kern w:val="0"/>
          <w:sz w:val="32"/>
          <w:szCs w:val="32"/>
        </w:rPr>
        <w:t>2020年拟安排一般公共预算支出</w:t>
      </w:r>
      <w:r>
        <w:rPr>
          <w:rFonts w:eastAsia="仿宋_GB2312"/>
          <w:snapToGrid w:val="0"/>
          <w:kern w:val="0"/>
          <w:sz w:val="32"/>
          <w:szCs w:val="32"/>
        </w:rPr>
        <w:t>22</w:t>
      </w:r>
      <w:r>
        <w:rPr>
          <w:rFonts w:hint="eastAsia" w:eastAsia="仿宋_GB2312"/>
          <w:snapToGrid w:val="0"/>
          <w:kern w:val="0"/>
          <w:sz w:val="32"/>
          <w:szCs w:val="32"/>
        </w:rPr>
        <w:t>亿元（见附表一</w:t>
      </w:r>
      <w:r>
        <w:rPr>
          <w:snapToGrid w:val="0"/>
          <w:kern w:val="0"/>
          <w:sz w:val="24"/>
        </w:rPr>
        <w:t>-2</w:t>
      </w:r>
      <w:r>
        <w:rPr>
          <w:rFonts w:hint="eastAsia" w:eastAsia="仿宋_GB2312"/>
          <w:snapToGrid w:val="0"/>
          <w:kern w:val="0"/>
          <w:sz w:val="32"/>
          <w:szCs w:val="32"/>
        </w:rPr>
        <w:t>），剔除上年动用预算稳定调节基金一次性因素，同口径增长15.0</w:t>
      </w:r>
      <w:r>
        <w:rPr>
          <w:rFonts w:eastAsia="仿宋_GB2312"/>
          <w:snapToGrid w:val="0"/>
          <w:kern w:val="0"/>
          <w:sz w:val="32"/>
          <w:szCs w:val="32"/>
        </w:rPr>
        <w:t>%</w:t>
      </w:r>
      <w:r>
        <w:rPr>
          <w:rFonts w:hint="eastAsia" w:eastAsia="仿宋_GB2312"/>
          <w:snapToGrid w:val="0"/>
          <w:kern w:val="0"/>
          <w:sz w:val="32"/>
          <w:szCs w:val="32"/>
        </w:rPr>
        <w:t>。</w:t>
      </w:r>
    </w:p>
    <w:p>
      <w:pPr>
        <w:spacing w:line="560" w:lineRule="exact"/>
        <w:ind w:firstLine="640" w:firstLineChars="200"/>
        <w:rPr>
          <w:rFonts w:eastAsia="仿宋_GB2312"/>
          <w:snapToGrid w:val="0"/>
          <w:kern w:val="0"/>
          <w:sz w:val="32"/>
          <w:szCs w:val="32"/>
        </w:rPr>
      </w:pPr>
      <w:r>
        <w:rPr>
          <w:rFonts w:eastAsia="仿宋_GB2312"/>
          <w:snapToGrid w:val="0"/>
          <w:kern w:val="0"/>
          <w:sz w:val="32"/>
          <w:szCs w:val="32"/>
        </w:rPr>
        <w:t>20</w:t>
      </w:r>
      <w:r>
        <w:rPr>
          <w:rFonts w:hint="eastAsia" w:eastAsia="仿宋_GB2312"/>
          <w:snapToGrid w:val="0"/>
          <w:kern w:val="0"/>
          <w:sz w:val="32"/>
          <w:szCs w:val="32"/>
        </w:rPr>
        <w:t>20年全区一般公共预算收支总体（平衡）执行情况（见附表一</w:t>
      </w:r>
      <w:r>
        <w:rPr>
          <w:snapToGrid w:val="0"/>
          <w:kern w:val="0"/>
          <w:sz w:val="24"/>
        </w:rPr>
        <w:t>-</w:t>
      </w:r>
      <w:r>
        <w:rPr>
          <w:rFonts w:hint="eastAsia"/>
          <w:snapToGrid w:val="0"/>
          <w:kern w:val="0"/>
          <w:sz w:val="24"/>
        </w:rPr>
        <w:t>4</w:t>
      </w:r>
      <w:r>
        <w:rPr>
          <w:rFonts w:hint="eastAsia" w:eastAsia="仿宋_GB2312"/>
          <w:snapToGrid w:val="0"/>
          <w:kern w:val="0"/>
          <w:sz w:val="32"/>
          <w:szCs w:val="32"/>
        </w:rPr>
        <w:t>）：全区一般公共预算收入23.46亿元，转移性收入3.41亿元（包括中央四税返还收入-0.64亿元，一般债务转贷收入2亿元，省市转移支付收入1.6亿元，调入资金和上年结转项目0.45亿元），收入合计26.87亿元；一般公共预算支出22亿元，转移性支出4.87亿元（包括市区体制结算上解支出</w:t>
      </w:r>
      <w:r>
        <w:rPr>
          <w:rFonts w:eastAsia="仿宋_GB2312"/>
          <w:snapToGrid w:val="0"/>
          <w:kern w:val="0"/>
          <w:sz w:val="32"/>
          <w:szCs w:val="32"/>
        </w:rPr>
        <w:t>2.</w:t>
      </w:r>
      <w:r>
        <w:rPr>
          <w:rFonts w:hint="eastAsia" w:eastAsia="仿宋_GB2312"/>
          <w:snapToGrid w:val="0"/>
          <w:kern w:val="0"/>
          <w:sz w:val="32"/>
          <w:szCs w:val="32"/>
        </w:rPr>
        <w:t>6亿元，一般债务还本支出2亿元，结转下年项目支出0.27亿元），支出合计26.87亿元。预计</w:t>
      </w:r>
      <w:r>
        <w:rPr>
          <w:rFonts w:eastAsia="仿宋_GB2312"/>
          <w:snapToGrid w:val="0"/>
          <w:kern w:val="0"/>
          <w:sz w:val="32"/>
          <w:szCs w:val="32"/>
        </w:rPr>
        <w:t>20</w:t>
      </w:r>
      <w:r>
        <w:rPr>
          <w:rFonts w:hint="eastAsia" w:eastAsia="仿宋_GB2312"/>
          <w:snapToGrid w:val="0"/>
          <w:kern w:val="0"/>
          <w:sz w:val="32"/>
          <w:szCs w:val="32"/>
        </w:rPr>
        <w:t>20年一般公共预算收支平衡。</w:t>
      </w:r>
    </w:p>
    <w:p>
      <w:pPr>
        <w:spacing w:line="560" w:lineRule="exact"/>
        <w:ind w:firstLine="640" w:firstLineChars="200"/>
        <w:rPr>
          <w:rFonts w:eastAsia="仿宋_GB2312"/>
          <w:snapToGrid w:val="0"/>
          <w:kern w:val="0"/>
          <w:sz w:val="32"/>
          <w:szCs w:val="32"/>
        </w:rPr>
      </w:pPr>
      <w:r>
        <w:rPr>
          <w:rFonts w:eastAsia="仿宋_GB2312"/>
          <w:snapToGrid w:val="0"/>
          <w:kern w:val="0"/>
          <w:sz w:val="32"/>
          <w:szCs w:val="32"/>
        </w:rPr>
        <w:t>20</w:t>
      </w:r>
      <w:r>
        <w:rPr>
          <w:rFonts w:hint="eastAsia" w:eastAsia="仿宋_GB2312"/>
          <w:snapToGrid w:val="0"/>
          <w:kern w:val="0"/>
          <w:sz w:val="32"/>
          <w:szCs w:val="32"/>
        </w:rPr>
        <w:t>20年一般公共预算收支预算具体情况如下：</w:t>
      </w:r>
    </w:p>
    <w:p>
      <w:pPr>
        <w:tabs>
          <w:tab w:val="left" w:pos="1410"/>
        </w:tabs>
        <w:rPr>
          <w:rFonts w:ascii="仿宋_GB2312" w:hAnsi="仿宋_GB2312" w:eastAsia="仿宋_GB2312" w:cs="仿宋_GB2312"/>
          <w:sz w:val="32"/>
          <w:szCs w:val="32"/>
        </w:rPr>
      </w:pPr>
      <w:r>
        <w:rPr>
          <w:rFonts w:ascii="仿宋_GB2312" w:hAnsi="仿宋_GB2312" w:eastAsia="仿宋_GB2312" w:cs="仿宋_GB2312"/>
          <w:sz w:val="32"/>
          <w:szCs w:val="32"/>
        </w:rPr>
        <w:drawing>
          <wp:inline distT="0" distB="0" distL="0" distR="0">
            <wp:extent cx="5762625" cy="3009900"/>
            <wp:effectExtent l="0" t="0" r="9525" b="19050"/>
            <wp:docPr id="7" name="对象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tabs>
          <w:tab w:val="left" w:pos="1410"/>
        </w:tabs>
        <w:ind w:left="640" w:hanging="640" w:hangingChars="200"/>
        <w:rPr>
          <w:rFonts w:eastAsia="楷体_GB2312"/>
          <w:b/>
          <w:snapToGrid w:val="0"/>
          <w:kern w:val="0"/>
          <w:sz w:val="32"/>
          <w:szCs w:val="32"/>
        </w:rPr>
      </w:pPr>
      <w:r>
        <w:rPr>
          <w:rFonts w:ascii="仿宋_GB2312" w:hAnsi="仿宋_GB2312" w:eastAsia="仿宋_GB2312" w:cs="仿宋_GB2312"/>
          <w:sz w:val="32"/>
          <w:szCs w:val="32"/>
        </w:rPr>
        <w:drawing>
          <wp:inline distT="0" distB="0" distL="0" distR="0">
            <wp:extent cx="5715000" cy="3095625"/>
            <wp:effectExtent l="4445" t="5080" r="14605" b="4445"/>
            <wp:docPr id="6" name="对象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hint="eastAsia" w:eastAsia="仿宋_GB2312"/>
          <w:b/>
          <w:bCs/>
          <w:snapToGrid w:val="0"/>
          <w:kern w:val="0"/>
          <w:sz w:val="32"/>
          <w:szCs w:val="32"/>
        </w:rPr>
        <w:t>（二）2020年政府性基金预算草案</w:t>
      </w:r>
    </w:p>
    <w:p>
      <w:pPr>
        <w:overflowPunct w:val="0"/>
        <w:adjustRightInd w:val="0"/>
        <w:snapToGrid w:val="0"/>
        <w:spacing w:line="360" w:lineRule="auto"/>
        <w:ind w:firstLine="640" w:firstLineChars="200"/>
        <w:rPr>
          <w:rFonts w:eastAsia="仿宋_GB2312"/>
          <w:snapToGrid w:val="0"/>
          <w:kern w:val="0"/>
          <w:sz w:val="32"/>
          <w:szCs w:val="32"/>
        </w:rPr>
      </w:pPr>
      <w:r>
        <w:rPr>
          <w:rFonts w:hint="eastAsia" w:eastAsia="仿宋_GB2312"/>
          <w:snapToGrid w:val="0"/>
          <w:kern w:val="0"/>
          <w:sz w:val="32"/>
          <w:szCs w:val="32"/>
        </w:rPr>
        <w:t>2020年拟安排政府性基金收入26.95亿元（见附表二</w:t>
      </w:r>
      <w:r>
        <w:rPr>
          <w:snapToGrid w:val="0"/>
          <w:kern w:val="0"/>
          <w:sz w:val="24"/>
        </w:rPr>
        <w:t>-1</w:t>
      </w:r>
      <w:r>
        <w:rPr>
          <w:rFonts w:hint="eastAsia" w:eastAsia="仿宋_GB2312"/>
          <w:snapToGrid w:val="0"/>
          <w:kern w:val="0"/>
          <w:sz w:val="32"/>
          <w:szCs w:val="32"/>
        </w:rPr>
        <w:t>），剔除上年围填海一次性收入因素，同口径增长100.5%，其中土地出让返还收入26.37亿元。</w:t>
      </w:r>
    </w:p>
    <w:p>
      <w:pPr>
        <w:overflowPunct w:val="0"/>
        <w:adjustRightInd w:val="0"/>
        <w:snapToGrid w:val="0"/>
        <w:spacing w:line="360" w:lineRule="auto"/>
        <w:ind w:firstLine="640" w:firstLineChars="200"/>
        <w:rPr>
          <w:rFonts w:eastAsia="仿宋_GB2312"/>
          <w:snapToGrid w:val="0"/>
          <w:kern w:val="0"/>
          <w:sz w:val="32"/>
          <w:szCs w:val="32"/>
        </w:rPr>
      </w:pPr>
      <w:r>
        <w:rPr>
          <w:rFonts w:hint="eastAsia" w:eastAsia="仿宋_GB2312"/>
          <w:snapToGrid w:val="0"/>
          <w:kern w:val="0"/>
          <w:sz w:val="32"/>
          <w:szCs w:val="32"/>
        </w:rPr>
        <w:t>2020年拟安排政府性基金支出30.12亿元（见附表二</w:t>
      </w:r>
      <w:r>
        <w:rPr>
          <w:snapToGrid w:val="0"/>
          <w:kern w:val="0"/>
          <w:sz w:val="24"/>
        </w:rPr>
        <w:t>-2</w:t>
      </w:r>
      <w:r>
        <w:rPr>
          <w:rFonts w:hint="eastAsia" w:eastAsia="仿宋_GB2312"/>
          <w:snapToGrid w:val="0"/>
          <w:kern w:val="0"/>
          <w:sz w:val="32"/>
          <w:szCs w:val="32"/>
        </w:rPr>
        <w:t>），剔除提前下达新增地方政府债券3亿元及上年龙湾二期、瓯飞一期围区涂面整理工程代建费支出一次性因素，同口径增长30.1</w:t>
      </w:r>
      <w:r>
        <w:rPr>
          <w:rFonts w:eastAsia="仿宋_GB2312"/>
          <w:snapToGrid w:val="0"/>
          <w:kern w:val="0"/>
          <w:sz w:val="32"/>
          <w:szCs w:val="32"/>
        </w:rPr>
        <w:t>%</w:t>
      </w:r>
      <w:r>
        <w:rPr>
          <w:rFonts w:hint="eastAsia" w:eastAsia="仿宋_GB2312"/>
          <w:snapToGrid w:val="0"/>
          <w:kern w:val="0"/>
          <w:sz w:val="32"/>
          <w:szCs w:val="32"/>
        </w:rPr>
        <w:t>。</w:t>
      </w:r>
    </w:p>
    <w:p>
      <w:pPr>
        <w:overflowPunct w:val="0"/>
        <w:adjustRightInd w:val="0"/>
        <w:snapToGrid w:val="0"/>
        <w:spacing w:line="360" w:lineRule="auto"/>
        <w:ind w:firstLine="627" w:firstLineChars="196"/>
        <w:rPr>
          <w:rFonts w:eastAsia="仿宋_GB2312"/>
          <w:snapToGrid w:val="0"/>
          <w:kern w:val="0"/>
          <w:sz w:val="32"/>
          <w:szCs w:val="32"/>
        </w:rPr>
      </w:pPr>
      <w:r>
        <w:rPr>
          <w:rFonts w:hint="eastAsia" w:eastAsia="仿宋_GB2312"/>
          <w:snapToGrid w:val="0"/>
          <w:kern w:val="0"/>
          <w:sz w:val="32"/>
          <w:szCs w:val="32"/>
        </w:rPr>
        <w:t>全区政府性基金预算收支总体（平衡）执行情况（见附表二</w:t>
      </w:r>
      <w:r>
        <w:rPr>
          <w:snapToGrid w:val="0"/>
          <w:kern w:val="0"/>
          <w:sz w:val="24"/>
        </w:rPr>
        <w:t>-3</w:t>
      </w:r>
      <w:r>
        <w:rPr>
          <w:rFonts w:hint="eastAsia" w:eastAsia="仿宋_GB2312"/>
          <w:snapToGrid w:val="0"/>
          <w:kern w:val="0"/>
          <w:sz w:val="32"/>
          <w:szCs w:val="32"/>
        </w:rPr>
        <w:t>）：</w:t>
      </w:r>
      <w:r>
        <w:rPr>
          <w:rFonts w:eastAsia="仿宋_GB2312"/>
          <w:snapToGrid w:val="0"/>
          <w:kern w:val="0"/>
          <w:sz w:val="32"/>
          <w:szCs w:val="32"/>
        </w:rPr>
        <w:t>20</w:t>
      </w:r>
      <w:r>
        <w:rPr>
          <w:rFonts w:hint="eastAsia" w:eastAsia="仿宋_GB2312"/>
          <w:snapToGrid w:val="0"/>
          <w:kern w:val="0"/>
          <w:sz w:val="32"/>
          <w:szCs w:val="32"/>
        </w:rPr>
        <w:t>20年全区政府性基金收入26.95亿元，上级补助</w:t>
      </w:r>
      <w:r>
        <w:rPr>
          <w:rFonts w:eastAsia="仿宋_GB2312"/>
          <w:snapToGrid w:val="0"/>
          <w:kern w:val="0"/>
          <w:sz w:val="32"/>
          <w:szCs w:val="32"/>
        </w:rPr>
        <w:t>0.</w:t>
      </w:r>
      <w:r>
        <w:rPr>
          <w:rFonts w:hint="eastAsia" w:eastAsia="仿宋_GB2312"/>
          <w:snapToGrid w:val="0"/>
          <w:kern w:val="0"/>
          <w:sz w:val="32"/>
          <w:szCs w:val="32"/>
        </w:rPr>
        <w:t>4亿元，专项债务转贷收入3亿元，调入资金和动用上年结余0.41亿元，总收入合计30.76亿元；政府性基金支出30.12亿元，调出资金和结转下年支出</w:t>
      </w:r>
      <w:r>
        <w:rPr>
          <w:rFonts w:eastAsia="仿宋_GB2312"/>
          <w:snapToGrid w:val="0"/>
          <w:kern w:val="0"/>
          <w:sz w:val="32"/>
          <w:szCs w:val="32"/>
        </w:rPr>
        <w:t>0.</w:t>
      </w:r>
      <w:r>
        <w:rPr>
          <w:rFonts w:hint="eastAsia" w:eastAsia="仿宋_GB2312"/>
          <w:snapToGrid w:val="0"/>
          <w:kern w:val="0"/>
          <w:sz w:val="32"/>
          <w:szCs w:val="32"/>
        </w:rPr>
        <w:t>64亿元，总支出合计30.76亿元。预计2020年政府性基金预算收支平衡。</w:t>
      </w:r>
    </w:p>
    <w:p>
      <w:pPr>
        <w:tabs>
          <w:tab w:val="left" w:pos="1410"/>
        </w:tabs>
        <w:ind w:left="640" w:leftChars="305" w:firstLine="0" w:firstLineChars="0"/>
        <w:rPr>
          <w:rFonts w:hint="eastAsia" w:eastAsia="仿宋_GB2312"/>
          <w:b/>
          <w:bCs/>
          <w:snapToGrid w:val="0"/>
          <w:kern w:val="0"/>
          <w:sz w:val="32"/>
          <w:szCs w:val="32"/>
        </w:rPr>
      </w:pPr>
      <w:r>
        <w:rPr>
          <w:rFonts w:hint="eastAsia" w:eastAsia="仿宋_GB2312"/>
          <w:b/>
          <w:bCs/>
          <w:snapToGrid w:val="0"/>
          <w:kern w:val="0"/>
          <w:sz w:val="32"/>
          <w:szCs w:val="32"/>
        </w:rPr>
        <w:t>（三）2020年国有资本经营预算草案</w:t>
      </w:r>
    </w:p>
    <w:p>
      <w:pPr>
        <w:overflowPunct w:val="0"/>
        <w:adjustRightInd w:val="0"/>
        <w:snapToGrid w:val="0"/>
        <w:spacing w:line="360" w:lineRule="auto"/>
        <w:ind w:firstLine="640" w:firstLineChars="200"/>
        <w:rPr>
          <w:rFonts w:eastAsia="仿宋_GB2312"/>
          <w:snapToGrid w:val="0"/>
          <w:kern w:val="0"/>
          <w:sz w:val="32"/>
          <w:szCs w:val="32"/>
        </w:rPr>
      </w:pPr>
      <w:r>
        <w:rPr>
          <w:rFonts w:hint="eastAsia" w:eastAsia="仿宋_GB2312"/>
          <w:snapToGrid w:val="0"/>
          <w:kern w:val="0"/>
          <w:sz w:val="32"/>
          <w:szCs w:val="32"/>
        </w:rPr>
        <w:t>我区拥有</w:t>
      </w:r>
      <w:r>
        <w:rPr>
          <w:rFonts w:eastAsia="仿宋_GB2312"/>
          <w:snapToGrid w:val="0"/>
          <w:kern w:val="0"/>
          <w:sz w:val="32"/>
          <w:szCs w:val="32"/>
        </w:rPr>
        <w:t>3</w:t>
      </w:r>
      <w:r>
        <w:rPr>
          <w:rFonts w:hint="eastAsia" w:eastAsia="仿宋_GB2312"/>
          <w:snapToGrid w:val="0"/>
          <w:kern w:val="0"/>
          <w:sz w:val="32"/>
          <w:szCs w:val="32"/>
        </w:rPr>
        <w:t>个集团型母公司，分别是滨海新城投资集团（下设</w:t>
      </w:r>
      <w:r>
        <w:rPr>
          <w:rFonts w:eastAsia="仿宋_GB2312"/>
          <w:snapToGrid w:val="0"/>
          <w:kern w:val="0"/>
          <w:sz w:val="32"/>
          <w:szCs w:val="32"/>
        </w:rPr>
        <w:t>8</w:t>
      </w:r>
      <w:r>
        <w:rPr>
          <w:rFonts w:hint="eastAsia" w:eastAsia="仿宋_GB2312"/>
          <w:snapToGrid w:val="0"/>
          <w:kern w:val="0"/>
          <w:sz w:val="32"/>
          <w:szCs w:val="32"/>
        </w:rPr>
        <w:t>个全资子公司）；国有资产经营有限公司（下设</w:t>
      </w:r>
      <w:r>
        <w:rPr>
          <w:rFonts w:eastAsia="仿宋_GB2312"/>
          <w:snapToGrid w:val="0"/>
          <w:kern w:val="0"/>
          <w:sz w:val="32"/>
          <w:szCs w:val="32"/>
        </w:rPr>
        <w:t>2</w:t>
      </w:r>
      <w:r>
        <w:rPr>
          <w:rFonts w:hint="eastAsia" w:eastAsia="仿宋_GB2312"/>
          <w:snapToGrid w:val="0"/>
          <w:kern w:val="0"/>
          <w:sz w:val="32"/>
          <w:szCs w:val="32"/>
        </w:rPr>
        <w:t>个全资子公司）；瓯飞开发建设投资集团公司（下设</w:t>
      </w:r>
      <w:r>
        <w:rPr>
          <w:rFonts w:eastAsia="仿宋_GB2312"/>
          <w:snapToGrid w:val="0"/>
          <w:kern w:val="0"/>
          <w:sz w:val="32"/>
          <w:szCs w:val="32"/>
        </w:rPr>
        <w:t>4</w:t>
      </w:r>
      <w:r>
        <w:rPr>
          <w:rFonts w:hint="eastAsia" w:eastAsia="仿宋_GB2312"/>
          <w:snapToGrid w:val="0"/>
          <w:kern w:val="0"/>
          <w:sz w:val="32"/>
          <w:szCs w:val="32"/>
        </w:rPr>
        <w:t>个全资及控股子公司）。</w:t>
      </w:r>
    </w:p>
    <w:p>
      <w:pPr>
        <w:overflowPunct w:val="0"/>
        <w:adjustRightInd w:val="0"/>
        <w:snapToGrid w:val="0"/>
        <w:spacing w:line="360" w:lineRule="auto"/>
        <w:ind w:firstLine="640" w:firstLineChars="200"/>
        <w:rPr>
          <w:rFonts w:eastAsia="仿宋_GB2312"/>
          <w:snapToGrid w:val="0"/>
          <w:kern w:val="0"/>
          <w:sz w:val="32"/>
          <w:szCs w:val="32"/>
        </w:rPr>
      </w:pPr>
      <w:r>
        <w:rPr>
          <w:rFonts w:hint="eastAsia" w:eastAsia="仿宋_GB2312"/>
          <w:snapToGrid w:val="0"/>
          <w:kern w:val="0"/>
          <w:sz w:val="32"/>
          <w:szCs w:val="32"/>
        </w:rPr>
        <w:t>其中，滨海新城投资集团和国有资产经营有限公司属管委会全额出资，纳入我区国有资本经营预算范围。因</w:t>
      </w:r>
      <w:r>
        <w:rPr>
          <w:rFonts w:eastAsia="仿宋_GB2312"/>
          <w:snapToGrid w:val="0"/>
          <w:kern w:val="0"/>
          <w:sz w:val="32"/>
          <w:szCs w:val="32"/>
        </w:rPr>
        <w:t>20</w:t>
      </w:r>
      <w:r>
        <w:rPr>
          <w:rFonts w:hint="eastAsia" w:eastAsia="仿宋_GB2312"/>
          <w:snapToGrid w:val="0"/>
          <w:kern w:val="0"/>
          <w:sz w:val="32"/>
          <w:szCs w:val="32"/>
        </w:rPr>
        <w:t>20年</w:t>
      </w:r>
      <w:r>
        <w:rPr>
          <w:rFonts w:eastAsia="仿宋_GB2312"/>
          <w:snapToGrid w:val="0"/>
          <w:kern w:val="0"/>
          <w:sz w:val="32"/>
          <w:szCs w:val="32"/>
        </w:rPr>
        <w:t>2</w:t>
      </w:r>
      <w:r>
        <w:rPr>
          <w:rFonts w:hint="eastAsia" w:eastAsia="仿宋_GB2312"/>
          <w:snapToGrid w:val="0"/>
          <w:kern w:val="0"/>
          <w:sz w:val="32"/>
          <w:szCs w:val="32"/>
        </w:rPr>
        <w:t>家国有公司预计无利润上缴，故</w:t>
      </w:r>
      <w:r>
        <w:rPr>
          <w:rFonts w:eastAsia="仿宋_GB2312"/>
          <w:snapToGrid w:val="0"/>
          <w:kern w:val="0"/>
          <w:sz w:val="32"/>
          <w:szCs w:val="32"/>
        </w:rPr>
        <w:t>20</w:t>
      </w:r>
      <w:r>
        <w:rPr>
          <w:rFonts w:hint="eastAsia" w:eastAsia="仿宋_GB2312"/>
          <w:snapToGrid w:val="0"/>
          <w:kern w:val="0"/>
          <w:sz w:val="32"/>
          <w:szCs w:val="32"/>
        </w:rPr>
        <w:t>20年国有资本经营预算收支为零。</w:t>
      </w:r>
    </w:p>
    <w:p>
      <w:pPr>
        <w:tabs>
          <w:tab w:val="left" w:pos="1410"/>
        </w:tabs>
        <w:ind w:left="640" w:leftChars="305" w:firstLine="0" w:firstLineChars="0"/>
        <w:rPr>
          <w:rFonts w:hint="eastAsia" w:eastAsia="仿宋_GB2312"/>
          <w:b/>
          <w:bCs/>
          <w:snapToGrid w:val="0"/>
          <w:kern w:val="0"/>
          <w:sz w:val="32"/>
          <w:szCs w:val="32"/>
        </w:rPr>
      </w:pPr>
      <w:r>
        <w:rPr>
          <w:rFonts w:hint="eastAsia" w:eastAsia="仿宋_GB2312"/>
          <w:b/>
          <w:bCs/>
          <w:snapToGrid w:val="0"/>
          <w:kern w:val="0"/>
          <w:sz w:val="32"/>
          <w:szCs w:val="32"/>
        </w:rPr>
        <w:t>（四）2020年社会保险基金预算草案</w:t>
      </w:r>
    </w:p>
    <w:p>
      <w:pPr>
        <w:overflowPunct w:val="0"/>
        <w:adjustRightInd w:val="0"/>
        <w:snapToGrid w:val="0"/>
        <w:spacing w:line="360" w:lineRule="auto"/>
        <w:ind w:firstLine="630"/>
        <w:rPr>
          <w:rFonts w:eastAsia="仿宋_GB2312"/>
          <w:snapToGrid w:val="0"/>
          <w:kern w:val="0"/>
          <w:sz w:val="32"/>
          <w:szCs w:val="32"/>
        </w:rPr>
      </w:pPr>
      <w:r>
        <w:rPr>
          <w:rFonts w:hint="eastAsia" w:eastAsia="仿宋_GB2312"/>
          <w:snapToGrid w:val="0"/>
          <w:kern w:val="0"/>
          <w:sz w:val="32"/>
          <w:szCs w:val="32"/>
        </w:rPr>
        <w:t>我区社会保险基金纳入市级社会保险基金预算。故2020年区级社会保险基金预算收支为零。</w:t>
      </w:r>
    </w:p>
    <w:p>
      <w:pPr>
        <w:overflowPunct w:val="0"/>
        <w:adjustRightInd w:val="0"/>
        <w:snapToGrid w:val="0"/>
        <w:spacing w:line="360" w:lineRule="auto"/>
        <w:ind w:firstLine="630"/>
        <w:rPr>
          <w:rFonts w:eastAsia="楷体_GB2312"/>
          <w:b/>
          <w:bCs/>
          <w:snapToGrid w:val="0"/>
          <w:kern w:val="0"/>
          <w:sz w:val="32"/>
          <w:szCs w:val="32"/>
        </w:rPr>
      </w:pPr>
      <w:r>
        <w:rPr>
          <w:rFonts w:hint="eastAsia" w:eastAsia="仿宋_GB2312"/>
          <w:b/>
          <w:bCs/>
          <w:snapToGrid w:val="0"/>
          <w:kern w:val="0"/>
          <w:sz w:val="32"/>
          <w:szCs w:val="32"/>
        </w:rPr>
        <w:t>（五）政府性债务及财政中长期规划项目</w:t>
      </w:r>
    </w:p>
    <w:p>
      <w:pPr>
        <w:overflowPunct w:val="0"/>
        <w:adjustRightInd w:val="0"/>
        <w:snapToGrid w:val="0"/>
        <w:spacing w:line="360" w:lineRule="auto"/>
        <w:ind w:firstLine="630"/>
        <w:rPr>
          <w:rFonts w:eastAsia="仿宋_GB2312"/>
          <w:snapToGrid w:val="0"/>
          <w:kern w:val="0"/>
          <w:sz w:val="32"/>
          <w:szCs w:val="32"/>
        </w:rPr>
      </w:pPr>
      <w:r>
        <w:rPr>
          <w:rFonts w:eastAsia="楷体"/>
          <w:b/>
          <w:bCs/>
          <w:snapToGrid w:val="0"/>
          <w:kern w:val="0"/>
          <w:sz w:val="32"/>
          <w:szCs w:val="32"/>
        </w:rPr>
        <w:t>1.</w:t>
      </w:r>
      <w:r>
        <w:rPr>
          <w:rFonts w:hint="eastAsia" w:eastAsia="楷体"/>
          <w:b/>
          <w:bCs/>
          <w:snapToGrid w:val="0"/>
          <w:kern w:val="0"/>
          <w:sz w:val="32"/>
          <w:szCs w:val="32"/>
        </w:rPr>
        <w:t>政府性债务情况</w:t>
      </w:r>
      <w:r>
        <w:rPr>
          <w:rFonts w:hint="eastAsia" w:eastAsia="仿宋_GB2312"/>
          <w:snapToGrid w:val="0"/>
          <w:kern w:val="0"/>
          <w:sz w:val="32"/>
          <w:szCs w:val="32"/>
        </w:rPr>
        <w:t>。2020年预计我区政府性债务余额9亿元，其中一般债务余额2亿元，专项债务余额7亿元。政府性债务限额最终按市财政局核定为准。</w:t>
      </w:r>
    </w:p>
    <w:p>
      <w:pPr>
        <w:overflowPunct w:val="0"/>
        <w:adjustRightInd w:val="0"/>
        <w:snapToGrid w:val="0"/>
        <w:spacing w:line="360" w:lineRule="auto"/>
        <w:ind w:firstLine="630"/>
        <w:rPr>
          <w:rFonts w:eastAsia="仿宋_GB2312"/>
          <w:snapToGrid w:val="0"/>
          <w:kern w:val="0"/>
          <w:sz w:val="32"/>
          <w:szCs w:val="32"/>
        </w:rPr>
      </w:pPr>
      <w:r>
        <w:rPr>
          <w:rFonts w:eastAsia="楷体"/>
          <w:b/>
          <w:bCs/>
          <w:snapToGrid w:val="0"/>
          <w:kern w:val="0"/>
          <w:sz w:val="32"/>
          <w:szCs w:val="32"/>
        </w:rPr>
        <w:t>2.</w:t>
      </w:r>
      <w:r>
        <w:rPr>
          <w:rFonts w:hint="eastAsia" w:eastAsia="楷体"/>
          <w:b/>
          <w:bCs/>
          <w:snapToGrid w:val="0"/>
          <w:kern w:val="0"/>
          <w:sz w:val="32"/>
          <w:szCs w:val="32"/>
        </w:rPr>
        <w:t>纳入财政中长期规划项目</w:t>
      </w:r>
      <w:r>
        <w:rPr>
          <w:rFonts w:hint="eastAsia" w:eastAsia="仿宋_GB2312"/>
          <w:snapToGrid w:val="0"/>
          <w:kern w:val="0"/>
          <w:sz w:val="32"/>
          <w:szCs w:val="32"/>
        </w:rPr>
        <w:t>：（</w:t>
      </w:r>
      <w:r>
        <w:rPr>
          <w:rFonts w:eastAsia="仿宋_GB2312"/>
          <w:snapToGrid w:val="0"/>
          <w:kern w:val="0"/>
          <w:sz w:val="32"/>
          <w:szCs w:val="32"/>
        </w:rPr>
        <w:t>1</w:t>
      </w:r>
      <w:r>
        <w:rPr>
          <w:rFonts w:hint="eastAsia" w:eastAsia="仿宋_GB2312"/>
          <w:snapToGrid w:val="0"/>
          <w:kern w:val="0"/>
          <w:sz w:val="32"/>
          <w:szCs w:val="32"/>
        </w:rPr>
        <w:t>）截至2020年，我区已按</w:t>
      </w:r>
      <w:r>
        <w:rPr>
          <w:rFonts w:eastAsia="仿宋_GB2312"/>
          <w:snapToGrid w:val="0"/>
          <w:kern w:val="0"/>
          <w:sz w:val="32"/>
          <w:szCs w:val="32"/>
        </w:rPr>
        <w:t>PPP</w:t>
      </w:r>
      <w:r>
        <w:rPr>
          <w:rFonts w:hint="eastAsia" w:eastAsia="仿宋_GB2312"/>
          <w:snapToGrid w:val="0"/>
          <w:kern w:val="0"/>
          <w:sz w:val="32"/>
          <w:szCs w:val="32"/>
        </w:rPr>
        <w:t>模式运作的项目：金海园区（天成）市政基础设施工程、洞头至鹿城公路龙湾永中至海城段工程二期（经开区段）、经开区第二污水处理厂再生水工程、龙湾二期（瓯飞起步区）</w:t>
      </w:r>
      <w:r>
        <w:rPr>
          <w:rFonts w:eastAsia="仿宋_GB2312"/>
          <w:snapToGrid w:val="0"/>
          <w:kern w:val="0"/>
          <w:sz w:val="32"/>
          <w:szCs w:val="32"/>
        </w:rPr>
        <w:t>2#</w:t>
      </w:r>
      <w:r>
        <w:rPr>
          <w:rFonts w:hint="eastAsia" w:eastAsia="仿宋_GB2312"/>
          <w:snapToGrid w:val="0"/>
          <w:kern w:val="0"/>
          <w:sz w:val="32"/>
          <w:szCs w:val="32"/>
        </w:rPr>
        <w:t>围区农业造地项目。（</w:t>
      </w:r>
      <w:r>
        <w:rPr>
          <w:rFonts w:eastAsia="仿宋_GB2312"/>
          <w:snapToGrid w:val="0"/>
          <w:kern w:val="0"/>
          <w:sz w:val="32"/>
          <w:szCs w:val="32"/>
        </w:rPr>
        <w:t>2</w:t>
      </w:r>
      <w:r>
        <w:rPr>
          <w:rFonts w:hint="eastAsia" w:eastAsia="仿宋_GB2312"/>
          <w:snapToGrid w:val="0"/>
          <w:kern w:val="0"/>
          <w:sz w:val="32"/>
          <w:szCs w:val="32"/>
        </w:rPr>
        <w:t>）项目资本金出资</w:t>
      </w:r>
      <w:r>
        <w:rPr>
          <w:rFonts w:eastAsia="仿宋_GB2312"/>
          <w:snapToGrid w:val="0"/>
          <w:kern w:val="0"/>
          <w:sz w:val="32"/>
          <w:szCs w:val="32"/>
        </w:rPr>
        <w:t>:S2</w:t>
      </w:r>
      <w:r>
        <w:rPr>
          <w:rFonts w:hint="eastAsia" w:eastAsia="仿宋_GB2312"/>
          <w:snapToGrid w:val="0"/>
          <w:kern w:val="0"/>
          <w:sz w:val="32"/>
          <w:szCs w:val="32"/>
        </w:rPr>
        <w:t>线、沈海高速复线、金丽温高速延线工程。（</w:t>
      </w:r>
      <w:r>
        <w:rPr>
          <w:rFonts w:eastAsia="仿宋_GB2312"/>
          <w:snapToGrid w:val="0"/>
          <w:kern w:val="0"/>
          <w:sz w:val="32"/>
          <w:szCs w:val="32"/>
        </w:rPr>
        <w:t>3</w:t>
      </w:r>
      <w:r>
        <w:rPr>
          <w:rFonts w:hint="eastAsia" w:eastAsia="仿宋_GB2312"/>
          <w:snapToGrid w:val="0"/>
          <w:kern w:val="0"/>
          <w:sz w:val="32"/>
          <w:szCs w:val="32"/>
        </w:rPr>
        <w:t>）滨海新城核心区公共基础设施和公共服务设施工程。（4</w:t>
      </w:r>
      <w:r>
        <w:rPr>
          <w:rFonts w:eastAsia="仿宋_GB2312"/>
          <w:snapToGrid w:val="0"/>
          <w:kern w:val="0"/>
          <w:sz w:val="32"/>
          <w:szCs w:val="32"/>
        </w:rPr>
        <w:t>）</w:t>
      </w:r>
      <w:r>
        <w:rPr>
          <w:rFonts w:hint="eastAsia" w:eastAsia="仿宋_GB2312"/>
          <w:snapToGrid w:val="0"/>
          <w:kern w:val="0"/>
          <w:sz w:val="32"/>
          <w:szCs w:val="32"/>
        </w:rPr>
        <w:t>环山东路、新川大道、天柱大道、环山南路工程。</w:t>
      </w:r>
    </w:p>
    <w:p>
      <w:pPr>
        <w:overflowPunct w:val="0"/>
        <w:adjustRightInd w:val="0"/>
        <w:snapToGrid w:val="0"/>
        <w:spacing w:line="360" w:lineRule="auto"/>
        <w:ind w:firstLine="630"/>
        <w:rPr>
          <w:rFonts w:eastAsia="黑体"/>
          <w:bCs/>
          <w:snapToGrid w:val="0"/>
          <w:kern w:val="0"/>
          <w:sz w:val="32"/>
          <w:szCs w:val="32"/>
        </w:rPr>
      </w:pPr>
      <w:r>
        <w:rPr>
          <w:rFonts w:hint="eastAsia" w:eastAsia="黑体"/>
          <w:bCs/>
          <w:snapToGrid w:val="0"/>
          <w:kern w:val="0"/>
          <w:sz w:val="32"/>
          <w:szCs w:val="32"/>
        </w:rPr>
        <w:t>四、进一步做好2020年财政改革和管理工作</w:t>
      </w:r>
    </w:p>
    <w:p>
      <w:pPr>
        <w:adjustRightInd w:val="0"/>
        <w:snapToGrid w:val="0"/>
        <w:spacing w:line="560" w:lineRule="exact"/>
        <w:ind w:firstLine="640" w:firstLineChars="200"/>
        <w:rPr>
          <w:rFonts w:eastAsia="仿宋_GB2312"/>
          <w:snapToGrid w:val="0"/>
          <w:kern w:val="0"/>
          <w:sz w:val="32"/>
          <w:szCs w:val="32"/>
        </w:rPr>
      </w:pPr>
      <w:r>
        <w:rPr>
          <w:rFonts w:hint="eastAsia" w:eastAsia="仿宋_GB2312"/>
          <w:snapToGrid w:val="0"/>
          <w:kern w:val="0"/>
          <w:sz w:val="32"/>
          <w:szCs w:val="32"/>
        </w:rPr>
        <w:t>2020年，我区财政工作将在管委会的领导和市人大的监督指导下，强化“</w:t>
      </w:r>
      <w:r>
        <w:rPr>
          <w:rFonts w:eastAsia="仿宋_GB2312"/>
          <w:snapToGrid w:val="0"/>
          <w:kern w:val="0"/>
          <w:sz w:val="32"/>
          <w:szCs w:val="32"/>
        </w:rPr>
        <w:t>政府过紧日子换取老百姓的好日子</w:t>
      </w:r>
      <w:r>
        <w:rPr>
          <w:rFonts w:hint="eastAsia" w:eastAsia="仿宋_GB2312"/>
          <w:snapToGrid w:val="0"/>
          <w:kern w:val="0"/>
          <w:sz w:val="32"/>
          <w:szCs w:val="32"/>
        </w:rPr>
        <w:t>”思想，严控和压减一般性支出，集中财力办大事，持续提升收入质量、支出绩效、风险防控能力和水平，努力应对财政紧平衡状态，全力服务保障全区各项重大决策部署的实施，确保圆满完成全年预算收支任务。</w:t>
      </w:r>
    </w:p>
    <w:p>
      <w:pPr>
        <w:overflowPunct w:val="0"/>
        <w:adjustRightInd w:val="0"/>
        <w:snapToGrid w:val="0"/>
        <w:spacing w:line="360" w:lineRule="auto"/>
        <w:ind w:firstLine="630"/>
        <w:rPr>
          <w:rFonts w:eastAsia="仿宋_GB2312"/>
          <w:snapToGrid w:val="0"/>
          <w:kern w:val="0"/>
          <w:sz w:val="32"/>
          <w:szCs w:val="32"/>
        </w:rPr>
      </w:pPr>
      <w:r>
        <w:rPr>
          <w:rFonts w:hint="eastAsia" w:eastAsia="仿宋_GB2312"/>
          <w:snapToGrid w:val="0"/>
          <w:kern w:val="0"/>
          <w:sz w:val="32"/>
          <w:szCs w:val="32"/>
        </w:rPr>
        <w:t>为此，我们将着力抓好以下五个方面工作：</w:t>
      </w:r>
    </w:p>
    <w:p>
      <w:pPr>
        <w:widowControl/>
        <w:ind w:firstLine="643" w:firstLineChars="200"/>
        <w:jc w:val="left"/>
        <w:rPr>
          <w:rFonts w:eastAsia="仿宋_GB2312"/>
          <w:snapToGrid w:val="0"/>
          <w:kern w:val="0"/>
          <w:sz w:val="32"/>
          <w:szCs w:val="32"/>
        </w:rPr>
      </w:pPr>
      <w:r>
        <w:rPr>
          <w:rFonts w:hint="eastAsia" w:eastAsia="仿宋_GB2312"/>
          <w:b/>
          <w:bCs/>
          <w:snapToGrid w:val="0"/>
          <w:kern w:val="0"/>
          <w:sz w:val="32"/>
          <w:szCs w:val="32"/>
        </w:rPr>
        <w:t>(一)紧扣“稳中求进”总基调，牢牢把握财政收支主线。</w:t>
      </w:r>
      <w:r>
        <w:rPr>
          <w:rFonts w:hint="eastAsia" w:eastAsia="仿宋_GB2312"/>
          <w:snapToGrid w:val="0"/>
          <w:kern w:val="0"/>
          <w:sz w:val="32"/>
          <w:szCs w:val="32"/>
        </w:rPr>
        <w:t>一是在2019年收入目标调高的基数压力下，多措并举拓财源，努力确保财政收入持续平稳增长。着力抓好“五未”土地清理，进一步完善区域控规，盘活存量用地；深化“亩均论英雄”改革；满足优质产业发展需求，精准培育税源型经济，挖掘税收收入增长潜力。二是牢固树立“</w:t>
      </w:r>
      <w:r>
        <w:rPr>
          <w:rFonts w:eastAsia="仿宋_GB2312"/>
          <w:snapToGrid w:val="0"/>
          <w:kern w:val="0"/>
          <w:sz w:val="32"/>
          <w:szCs w:val="32"/>
        </w:rPr>
        <w:t>政府过紧日子换取老百姓的好日子</w:t>
      </w:r>
      <w:r>
        <w:rPr>
          <w:rFonts w:hint="eastAsia" w:eastAsia="仿宋_GB2312"/>
          <w:snapToGrid w:val="0"/>
          <w:kern w:val="0"/>
          <w:sz w:val="32"/>
          <w:szCs w:val="32"/>
        </w:rPr>
        <w:t>”思想，坚持勤俭办一切事业，从严从紧编制部门预算，加大各类资金统筹力度，优化支出结构，大幅度压减非刚性、非重点项目支出，财政一般性支出要在2019年已压减的基础上进一步压减，继续盘活各类存量资金和资产，通过节支改善财政收支平衡状况。三是</w:t>
      </w:r>
      <w:r>
        <w:rPr>
          <w:rFonts w:eastAsia="仿宋_GB2312"/>
          <w:snapToGrid w:val="0"/>
          <w:kern w:val="0"/>
          <w:sz w:val="32"/>
          <w:szCs w:val="32"/>
        </w:rPr>
        <w:t>加强疫情防控政策和资金保障。</w:t>
      </w:r>
      <w:r>
        <w:rPr>
          <w:rFonts w:hint="eastAsia" w:eastAsia="仿宋_GB2312"/>
          <w:snapToGrid w:val="0"/>
          <w:kern w:val="0"/>
          <w:sz w:val="32"/>
          <w:szCs w:val="32"/>
        </w:rPr>
        <w:t>通过进一步压减部门非刚性、非重点支出，调剂安排专项资金用于疫情防控、物资等医疗卫生经费；</w:t>
      </w:r>
      <w:r>
        <w:rPr>
          <w:rFonts w:eastAsia="仿宋_GB2312"/>
          <w:snapToGrid w:val="0"/>
          <w:kern w:val="0"/>
          <w:sz w:val="32"/>
          <w:szCs w:val="32"/>
        </w:rPr>
        <w:t>积极</w:t>
      </w:r>
      <w:r>
        <w:rPr>
          <w:rFonts w:hint="eastAsia" w:eastAsia="仿宋_GB2312"/>
          <w:snapToGrid w:val="0"/>
          <w:kern w:val="0"/>
          <w:sz w:val="32"/>
          <w:szCs w:val="32"/>
        </w:rPr>
        <w:t>落实</w:t>
      </w:r>
      <w:r>
        <w:rPr>
          <w:rFonts w:eastAsia="仿宋_GB2312"/>
          <w:snapToGrid w:val="0"/>
          <w:kern w:val="0"/>
          <w:sz w:val="32"/>
          <w:szCs w:val="32"/>
        </w:rPr>
        <w:t>企业复工复产</w:t>
      </w:r>
      <w:r>
        <w:rPr>
          <w:rFonts w:hint="eastAsia" w:eastAsia="仿宋_GB2312"/>
          <w:snapToGrid w:val="0"/>
          <w:kern w:val="0"/>
          <w:sz w:val="32"/>
          <w:szCs w:val="32"/>
        </w:rPr>
        <w:t>财政政策</w:t>
      </w:r>
      <w:r>
        <w:rPr>
          <w:rFonts w:eastAsia="仿宋_GB2312"/>
          <w:snapToGrid w:val="0"/>
          <w:kern w:val="0"/>
          <w:sz w:val="32"/>
          <w:szCs w:val="32"/>
        </w:rPr>
        <w:t>，</w:t>
      </w:r>
      <w:r>
        <w:rPr>
          <w:rFonts w:hint="eastAsia" w:eastAsia="仿宋_GB2312"/>
          <w:snapToGrid w:val="0"/>
          <w:kern w:val="0"/>
          <w:sz w:val="32"/>
          <w:szCs w:val="32"/>
        </w:rPr>
        <w:t>统筹安排专项资金</w:t>
      </w:r>
      <w:r>
        <w:rPr>
          <w:rFonts w:eastAsia="仿宋_GB2312"/>
          <w:snapToGrid w:val="0"/>
          <w:kern w:val="0"/>
          <w:sz w:val="32"/>
          <w:szCs w:val="32"/>
        </w:rPr>
        <w:t>全力帮助企业解决用工保障、产业联动、物流运输、资金周转等七大痛点难点问题，支持中小企业共渡难关、持续发展</w:t>
      </w:r>
      <w:r>
        <w:rPr>
          <w:rFonts w:hint="eastAsia" w:eastAsia="仿宋_GB2312"/>
          <w:snapToGrid w:val="0"/>
          <w:kern w:val="0"/>
          <w:sz w:val="32"/>
          <w:szCs w:val="32"/>
        </w:rPr>
        <w:t>。</w:t>
      </w:r>
    </w:p>
    <w:p>
      <w:pPr>
        <w:spacing w:line="360" w:lineRule="auto"/>
        <w:ind w:firstLine="643" w:firstLineChars="200"/>
        <w:rPr>
          <w:rFonts w:eastAsia="仿宋_GB2312"/>
          <w:snapToGrid w:val="0"/>
          <w:kern w:val="0"/>
          <w:sz w:val="32"/>
          <w:szCs w:val="32"/>
        </w:rPr>
      </w:pPr>
      <w:r>
        <w:rPr>
          <w:rFonts w:hint="eastAsia" w:eastAsia="仿宋_GB2312"/>
          <w:b/>
          <w:bCs/>
          <w:snapToGrid w:val="0"/>
          <w:kern w:val="0"/>
          <w:sz w:val="32"/>
          <w:szCs w:val="32"/>
        </w:rPr>
        <w:t>（二）全面深化绩效管理，增强财政服务保障能力。</w:t>
      </w:r>
      <w:r>
        <w:rPr>
          <w:rFonts w:hint="eastAsia" w:eastAsia="仿宋_GB2312"/>
          <w:snapToGrid w:val="0"/>
          <w:kern w:val="0"/>
          <w:sz w:val="32"/>
          <w:szCs w:val="32"/>
        </w:rPr>
        <w:t>一是集中财力办大事，进一步增强“财为政服务”水平。紧紧围绕“大干交通干大交通”工作部署，以“一轨两高六横六纵”交通框架路网规划为基础，聚焦重点项目和民生实事，进一步加大对交通基础设施投入，调存量、优增量，优化交通支出结构，支持我区交通基础设施建设。合力推进轨道S2线建设，加快环山东路，金丽温高速东延、新川大道、天柱大道、环山南路等6条干道建设。二是建立与部门整体绩效挂钩的部门预算总额包干的预算管理模式。根据省厅三年（2019-2021）实现部门整体绩效全覆盖的要求，在集中财力办大事项目整合梳理的基础上，通过量化绩效指标，细化预算标准，优化编制流程，强化结果导向，推动部门整体绩效预算改革工作。</w:t>
      </w:r>
    </w:p>
    <w:p>
      <w:pPr>
        <w:pStyle w:val="21"/>
        <w:shd w:val="clear" w:color="auto" w:fill="FFFFFF"/>
        <w:spacing w:beforeAutospacing="0" w:afterAutospacing="0" w:line="360" w:lineRule="auto"/>
        <w:ind w:firstLine="420"/>
        <w:rPr>
          <w:rFonts w:eastAsia="仿宋_GB2312"/>
          <w:snapToGrid w:val="0"/>
          <w:kern w:val="0"/>
          <w:sz w:val="32"/>
          <w:szCs w:val="32"/>
        </w:rPr>
      </w:pPr>
      <w:r>
        <w:rPr>
          <w:rFonts w:hint="eastAsia" w:ascii="Times New Roman" w:hAnsi="Times New Roman" w:eastAsia="仿宋_GB2312" w:cs="Times New Roman"/>
          <w:b/>
          <w:bCs/>
          <w:snapToGrid w:val="0"/>
          <w:kern w:val="0"/>
          <w:sz w:val="32"/>
          <w:szCs w:val="32"/>
          <w:lang w:val="en-US" w:eastAsia="zh-CN" w:bidi="ar-SA"/>
        </w:rPr>
        <w:t>（三）全面促进“两个健康”，支持民营经济发展。</w:t>
      </w:r>
      <w:r>
        <w:rPr>
          <w:rFonts w:hint="eastAsia" w:eastAsia="仿宋_GB2312"/>
          <w:snapToGrid w:val="0"/>
          <w:kern w:val="0"/>
          <w:sz w:val="32"/>
          <w:szCs w:val="32"/>
        </w:rPr>
        <w:t>主动作为，全面摸底调查2020年企业奖补资金需求，2020年预算安排奖补资金超5亿元。开发完善区级产业政策兑现系统，实现市区两级产业政策“一网”快速兑现。通过发挥财政政策与资金引导激励作用，激发民营经济的经济活力和创造力，推动民营经济高质量发展。</w:t>
      </w:r>
    </w:p>
    <w:p>
      <w:pPr>
        <w:overflowPunct w:val="0"/>
        <w:adjustRightInd w:val="0"/>
        <w:snapToGrid w:val="0"/>
        <w:spacing w:line="360" w:lineRule="auto"/>
        <w:ind w:firstLine="630"/>
        <w:rPr>
          <w:rFonts w:eastAsia="仿宋_GB2312"/>
          <w:snapToGrid w:val="0"/>
          <w:kern w:val="0"/>
          <w:sz w:val="32"/>
          <w:szCs w:val="32"/>
        </w:rPr>
      </w:pPr>
      <w:r>
        <w:rPr>
          <w:rFonts w:hint="eastAsia" w:ascii="Times New Roman" w:hAnsi="Times New Roman" w:eastAsia="仿宋_GB2312" w:cs="Times New Roman"/>
          <w:b/>
          <w:bCs/>
          <w:snapToGrid w:val="0"/>
          <w:kern w:val="0"/>
          <w:sz w:val="32"/>
          <w:szCs w:val="32"/>
          <w:lang w:val="en-US" w:eastAsia="zh-CN" w:bidi="ar-SA"/>
        </w:rPr>
        <w:t>（四）坚持底线思维，坚决防范化解重大风险。</w:t>
      </w:r>
      <w:r>
        <w:rPr>
          <w:rFonts w:hint="eastAsia" w:eastAsia="仿宋_GB2312"/>
          <w:snapToGrid w:val="0"/>
          <w:kern w:val="0"/>
          <w:sz w:val="32"/>
          <w:szCs w:val="32"/>
        </w:rPr>
        <w:t>增强风险意识，防范资金安全、财力运行、隐性债务、队伍管理四大风险。加强预算执行管理，严格规范资金支付和清算管理，高度重视财政资金存放安全、深入推进全过程内控体系建设，防范和化解资金风险。坚持“防风险与促发展并举、开前门与堵后门并重”，规范举债融资，合理控制政府债务规模，完成好防范化解政府隐性债务风险任务。坚持不懈抓好队伍建设，着力提高干部的政治素养和专业能力，细算“三笔账”，慎守“九道线”，以铁的纪律打造财政铁军。</w:t>
      </w:r>
    </w:p>
    <w:p>
      <w:pPr>
        <w:overflowPunct w:val="0"/>
        <w:adjustRightInd w:val="0"/>
        <w:snapToGrid w:val="0"/>
        <w:spacing w:line="360" w:lineRule="auto"/>
        <w:ind w:firstLine="643" w:firstLineChars="200"/>
        <w:outlineLvl w:val="0"/>
        <w:rPr>
          <w:rFonts w:eastAsia="仿宋_GB2312"/>
          <w:snapToGrid w:val="0"/>
          <w:kern w:val="0"/>
          <w:sz w:val="32"/>
          <w:szCs w:val="32"/>
        </w:rPr>
      </w:pPr>
      <w:r>
        <w:rPr>
          <w:rFonts w:hint="eastAsia" w:ascii="Times New Roman" w:hAnsi="Times New Roman" w:eastAsia="仿宋_GB2312" w:cs="Times New Roman"/>
          <w:b/>
          <w:bCs/>
          <w:snapToGrid w:val="0"/>
          <w:kern w:val="0"/>
          <w:sz w:val="32"/>
          <w:szCs w:val="32"/>
          <w:lang w:val="en-US" w:eastAsia="zh-CN" w:bidi="ar-SA"/>
        </w:rPr>
        <w:t>（五）巩固提升“五好服务”活动成果。</w:t>
      </w:r>
      <w:r>
        <w:rPr>
          <w:rFonts w:hint="eastAsia" w:eastAsia="仿宋_GB2312"/>
          <w:snapToGrid w:val="0"/>
          <w:kern w:val="0"/>
          <w:sz w:val="32"/>
          <w:szCs w:val="32"/>
        </w:rPr>
        <w:t>着力抓好专项活动巩固提升成效，在走访调研的基础上，深入分析共性问题和产生问题的根源，努力在完善政策、健全机制上下功夫，并滚动抓好问题排查，常态化抓化解、抓落实、抓深化。</w:t>
      </w:r>
    </w:p>
    <w:p>
      <w:pPr>
        <w:overflowPunct w:val="0"/>
        <w:adjustRightInd w:val="0"/>
        <w:snapToGrid w:val="0"/>
        <w:spacing w:line="360" w:lineRule="auto"/>
        <w:outlineLvl w:val="0"/>
        <w:rPr>
          <w:rFonts w:eastAsia="仿宋_GB2312"/>
          <w:snapToGrid w:val="0"/>
          <w:kern w:val="0"/>
          <w:sz w:val="32"/>
          <w:szCs w:val="32"/>
        </w:rPr>
      </w:pPr>
    </w:p>
    <w:p>
      <w:pPr>
        <w:overflowPunct w:val="0"/>
        <w:adjustRightInd w:val="0"/>
        <w:snapToGrid w:val="0"/>
        <w:spacing w:line="360" w:lineRule="auto"/>
        <w:ind w:left="1920" w:hanging="1920"/>
        <w:rPr>
          <w:rFonts w:eastAsia="仿宋_GB2312"/>
          <w:snapToGrid w:val="0"/>
          <w:kern w:val="0"/>
          <w:sz w:val="32"/>
          <w:szCs w:val="32"/>
        </w:rPr>
      </w:pPr>
      <w:r>
        <w:rPr>
          <w:rFonts w:hint="eastAsia" w:eastAsia="仿宋_GB2312"/>
          <w:snapToGrid w:val="0"/>
          <w:kern w:val="0"/>
          <w:sz w:val="32"/>
          <w:szCs w:val="32"/>
        </w:rPr>
        <w:t>附件：</w:t>
      </w:r>
      <w:r>
        <w:rPr>
          <w:rFonts w:eastAsia="仿宋_GB2312"/>
          <w:snapToGrid w:val="0"/>
          <w:kern w:val="0"/>
          <w:sz w:val="32"/>
          <w:szCs w:val="32"/>
        </w:rPr>
        <w:t>1.</w:t>
      </w:r>
      <w:r>
        <w:rPr>
          <w:rFonts w:hint="eastAsia" w:eastAsia="仿宋_GB2312"/>
          <w:snapToGrid w:val="0"/>
          <w:kern w:val="0"/>
          <w:sz w:val="32"/>
          <w:szCs w:val="32"/>
        </w:rPr>
        <w:t>浙南产业集聚区级</w:t>
      </w:r>
      <w:r>
        <w:rPr>
          <w:rFonts w:eastAsia="仿宋_GB2312"/>
          <w:snapToGrid w:val="0"/>
          <w:kern w:val="0"/>
          <w:sz w:val="32"/>
          <w:szCs w:val="32"/>
        </w:rPr>
        <w:t>201</w:t>
      </w:r>
      <w:r>
        <w:rPr>
          <w:rFonts w:hint="eastAsia" w:eastAsia="仿宋_GB2312"/>
          <w:snapToGrid w:val="0"/>
          <w:kern w:val="0"/>
          <w:sz w:val="32"/>
          <w:szCs w:val="32"/>
        </w:rPr>
        <w:t>9年一般公共预算执行与</w:t>
      </w:r>
      <w:r>
        <w:rPr>
          <w:rFonts w:eastAsia="仿宋_GB2312"/>
          <w:snapToGrid w:val="0"/>
          <w:kern w:val="0"/>
          <w:sz w:val="32"/>
          <w:szCs w:val="32"/>
        </w:rPr>
        <w:t>20</w:t>
      </w:r>
      <w:r>
        <w:rPr>
          <w:rFonts w:hint="eastAsia" w:eastAsia="仿宋_GB2312"/>
          <w:snapToGrid w:val="0"/>
          <w:kern w:val="0"/>
          <w:sz w:val="32"/>
          <w:szCs w:val="32"/>
        </w:rPr>
        <w:t>20年一般公共预算草案（</w:t>
      </w:r>
      <w:r>
        <w:rPr>
          <w:rFonts w:eastAsia="仿宋_GB2312"/>
          <w:snapToGrid w:val="0"/>
          <w:kern w:val="0"/>
          <w:sz w:val="32"/>
          <w:szCs w:val="32"/>
        </w:rPr>
        <w:t>附表一</w:t>
      </w:r>
      <w:r>
        <w:rPr>
          <w:rFonts w:eastAsia="仿宋_GB2312"/>
          <w:snapToGrid w:val="0"/>
          <w:kern w:val="0"/>
          <w:sz w:val="32"/>
          <w:szCs w:val="32"/>
          <w:vertAlign w:val="subscript"/>
        </w:rPr>
        <w:t>-</w:t>
      </w:r>
      <w:r>
        <w:rPr>
          <w:rFonts w:eastAsia="仿宋_GB2312"/>
          <w:snapToGrid w:val="0"/>
          <w:kern w:val="0"/>
          <w:sz w:val="32"/>
          <w:szCs w:val="32"/>
        </w:rPr>
        <w:t>1</w:t>
      </w:r>
      <w:r>
        <w:rPr>
          <w:rFonts w:hint="eastAsia" w:eastAsia="仿宋_GB2312"/>
          <w:snapToGrid w:val="0"/>
          <w:kern w:val="0"/>
          <w:sz w:val="32"/>
          <w:szCs w:val="32"/>
        </w:rPr>
        <w:t>至附表一</w:t>
      </w:r>
      <w:r>
        <w:rPr>
          <w:rFonts w:eastAsia="仿宋_GB2312"/>
          <w:snapToGrid w:val="0"/>
          <w:kern w:val="0"/>
          <w:sz w:val="32"/>
          <w:szCs w:val="32"/>
          <w:vertAlign w:val="subscript"/>
        </w:rPr>
        <w:t>-</w:t>
      </w:r>
      <w:r>
        <w:rPr>
          <w:rFonts w:hint="eastAsia" w:eastAsia="仿宋_GB2312"/>
          <w:snapToGrid w:val="0"/>
          <w:kern w:val="0"/>
          <w:sz w:val="32"/>
          <w:szCs w:val="32"/>
        </w:rPr>
        <w:t>5）</w:t>
      </w:r>
    </w:p>
    <w:p>
      <w:pPr>
        <w:overflowPunct w:val="0"/>
        <w:adjustRightInd w:val="0"/>
        <w:snapToGrid w:val="0"/>
        <w:spacing w:line="360" w:lineRule="auto"/>
        <w:ind w:left="1920" w:hanging="320"/>
        <w:rPr>
          <w:rFonts w:eastAsia="仿宋_GB2312"/>
          <w:snapToGrid w:val="0"/>
          <w:kern w:val="0"/>
          <w:sz w:val="32"/>
          <w:szCs w:val="32"/>
        </w:rPr>
      </w:pPr>
      <w:r>
        <w:rPr>
          <w:rFonts w:eastAsia="仿宋_GB2312"/>
          <w:snapToGrid w:val="0"/>
          <w:kern w:val="0"/>
          <w:sz w:val="32"/>
          <w:szCs w:val="32"/>
        </w:rPr>
        <w:t>2.</w:t>
      </w:r>
      <w:r>
        <w:rPr>
          <w:rFonts w:hint="eastAsia" w:eastAsia="仿宋_GB2312"/>
          <w:snapToGrid w:val="0"/>
          <w:kern w:val="0"/>
          <w:sz w:val="32"/>
          <w:szCs w:val="32"/>
        </w:rPr>
        <w:t>浙南产业集聚区级</w:t>
      </w:r>
      <w:r>
        <w:rPr>
          <w:rFonts w:eastAsia="仿宋_GB2312"/>
          <w:snapToGrid w:val="0"/>
          <w:kern w:val="0"/>
          <w:sz w:val="32"/>
          <w:szCs w:val="32"/>
        </w:rPr>
        <w:t>201</w:t>
      </w:r>
      <w:r>
        <w:rPr>
          <w:rFonts w:hint="eastAsia" w:eastAsia="仿宋_GB2312"/>
          <w:snapToGrid w:val="0"/>
          <w:kern w:val="0"/>
          <w:sz w:val="32"/>
          <w:szCs w:val="32"/>
        </w:rPr>
        <w:t>9年政府性基金预算执行与</w:t>
      </w:r>
      <w:r>
        <w:rPr>
          <w:rFonts w:eastAsia="仿宋_GB2312"/>
          <w:snapToGrid w:val="0"/>
          <w:kern w:val="0"/>
          <w:sz w:val="32"/>
          <w:szCs w:val="32"/>
        </w:rPr>
        <w:t>20</w:t>
      </w:r>
      <w:r>
        <w:rPr>
          <w:rFonts w:hint="eastAsia" w:eastAsia="仿宋_GB2312"/>
          <w:snapToGrid w:val="0"/>
          <w:kern w:val="0"/>
          <w:sz w:val="32"/>
          <w:szCs w:val="32"/>
        </w:rPr>
        <w:t>20年政府性基金预算草案（附表二</w:t>
      </w:r>
      <w:r>
        <w:rPr>
          <w:rFonts w:eastAsia="仿宋_GB2312"/>
          <w:snapToGrid w:val="0"/>
          <w:kern w:val="0"/>
          <w:sz w:val="32"/>
          <w:szCs w:val="32"/>
          <w:vertAlign w:val="subscript"/>
        </w:rPr>
        <w:t>-</w:t>
      </w:r>
      <w:r>
        <w:rPr>
          <w:rFonts w:eastAsia="仿宋_GB2312"/>
          <w:snapToGrid w:val="0"/>
          <w:kern w:val="0"/>
          <w:sz w:val="32"/>
          <w:szCs w:val="32"/>
        </w:rPr>
        <w:t>1</w:t>
      </w:r>
      <w:r>
        <w:rPr>
          <w:rFonts w:hint="eastAsia" w:eastAsia="仿宋_GB2312"/>
          <w:snapToGrid w:val="0"/>
          <w:kern w:val="0"/>
          <w:sz w:val="32"/>
          <w:szCs w:val="32"/>
        </w:rPr>
        <w:t>至附表二</w:t>
      </w:r>
      <w:r>
        <w:rPr>
          <w:rFonts w:eastAsia="仿宋_GB2312"/>
          <w:snapToGrid w:val="0"/>
          <w:kern w:val="0"/>
          <w:sz w:val="32"/>
          <w:szCs w:val="32"/>
          <w:vertAlign w:val="subscript"/>
        </w:rPr>
        <w:t>-</w:t>
      </w:r>
      <w:r>
        <w:rPr>
          <w:rFonts w:eastAsia="仿宋_GB2312"/>
          <w:snapToGrid w:val="0"/>
          <w:kern w:val="0"/>
          <w:sz w:val="32"/>
          <w:szCs w:val="32"/>
        </w:rPr>
        <w:t>3</w:t>
      </w:r>
      <w:r>
        <w:rPr>
          <w:rFonts w:hint="eastAsia" w:eastAsia="仿宋_GB2312"/>
          <w:snapToGrid w:val="0"/>
          <w:kern w:val="0"/>
          <w:sz w:val="32"/>
          <w:szCs w:val="32"/>
        </w:rPr>
        <w:t>）</w:t>
      </w:r>
    </w:p>
    <w:p>
      <w:pPr>
        <w:overflowPunct w:val="0"/>
        <w:adjustRightInd w:val="0"/>
        <w:snapToGrid w:val="0"/>
        <w:spacing w:line="360" w:lineRule="auto"/>
        <w:ind w:left="1920" w:hanging="320"/>
        <w:rPr>
          <w:rFonts w:eastAsia="仿宋_GB2312"/>
          <w:snapToGrid w:val="0"/>
          <w:kern w:val="0"/>
          <w:sz w:val="32"/>
          <w:szCs w:val="32"/>
        </w:rPr>
      </w:pPr>
      <w:r>
        <w:rPr>
          <w:rFonts w:eastAsia="仿宋_GB2312"/>
          <w:snapToGrid w:val="0"/>
          <w:kern w:val="0"/>
          <w:sz w:val="32"/>
          <w:szCs w:val="32"/>
        </w:rPr>
        <w:t>3.</w:t>
      </w:r>
      <w:r>
        <w:rPr>
          <w:rFonts w:hint="eastAsia" w:eastAsia="仿宋_GB2312"/>
          <w:snapToGrid w:val="0"/>
          <w:kern w:val="0"/>
          <w:sz w:val="32"/>
          <w:szCs w:val="32"/>
        </w:rPr>
        <w:t>浙南产业集聚区级</w:t>
      </w:r>
      <w:r>
        <w:rPr>
          <w:rFonts w:eastAsia="仿宋_GB2312"/>
          <w:snapToGrid w:val="0"/>
          <w:kern w:val="0"/>
          <w:sz w:val="32"/>
          <w:szCs w:val="32"/>
        </w:rPr>
        <w:t>20</w:t>
      </w:r>
      <w:r>
        <w:rPr>
          <w:rFonts w:hint="eastAsia" w:eastAsia="仿宋_GB2312"/>
          <w:snapToGrid w:val="0"/>
          <w:kern w:val="0"/>
          <w:sz w:val="32"/>
          <w:szCs w:val="32"/>
        </w:rPr>
        <w:t>20年国有资本经营预算草案（附表三）</w:t>
      </w:r>
    </w:p>
    <w:p>
      <w:pPr>
        <w:overflowPunct w:val="0"/>
        <w:adjustRightInd w:val="0"/>
        <w:snapToGrid w:val="0"/>
        <w:spacing w:line="360" w:lineRule="auto"/>
        <w:ind w:left="1920" w:hanging="320"/>
        <w:rPr>
          <w:rFonts w:eastAsia="仿宋_GB2312"/>
          <w:snapToGrid w:val="0"/>
          <w:kern w:val="0"/>
          <w:sz w:val="32"/>
          <w:szCs w:val="32"/>
        </w:rPr>
      </w:pPr>
      <w:r>
        <w:rPr>
          <w:rFonts w:eastAsia="仿宋_GB2312"/>
          <w:snapToGrid w:val="0"/>
          <w:kern w:val="0"/>
          <w:sz w:val="32"/>
          <w:szCs w:val="32"/>
        </w:rPr>
        <w:t>4.</w:t>
      </w:r>
      <w:r>
        <w:rPr>
          <w:rFonts w:hint="eastAsia" w:eastAsia="仿宋_GB2312"/>
          <w:snapToGrid w:val="0"/>
          <w:kern w:val="0"/>
          <w:sz w:val="32"/>
          <w:szCs w:val="32"/>
        </w:rPr>
        <w:t>浙南产业集聚区级</w:t>
      </w:r>
      <w:r>
        <w:rPr>
          <w:rFonts w:eastAsia="仿宋_GB2312"/>
          <w:snapToGrid w:val="0"/>
          <w:kern w:val="0"/>
          <w:sz w:val="32"/>
          <w:szCs w:val="32"/>
        </w:rPr>
        <w:t>20</w:t>
      </w:r>
      <w:r>
        <w:rPr>
          <w:rFonts w:hint="eastAsia" w:eastAsia="仿宋_GB2312"/>
          <w:snapToGrid w:val="0"/>
          <w:kern w:val="0"/>
          <w:sz w:val="32"/>
          <w:szCs w:val="32"/>
        </w:rPr>
        <w:t>20年社会保险基金收支预算表（附表四）</w:t>
      </w:r>
    </w:p>
    <w:p>
      <w:pPr>
        <w:overflowPunct w:val="0"/>
        <w:adjustRightInd w:val="0"/>
        <w:snapToGrid w:val="0"/>
        <w:spacing w:line="360" w:lineRule="auto"/>
        <w:ind w:left="1920" w:hanging="320"/>
        <w:rPr>
          <w:rFonts w:eastAsia="仿宋_GB2312"/>
          <w:snapToGrid w:val="0"/>
          <w:kern w:val="0"/>
          <w:sz w:val="32"/>
          <w:szCs w:val="32"/>
        </w:rPr>
      </w:pPr>
      <w:r>
        <w:rPr>
          <w:rFonts w:eastAsia="仿宋_GB2312"/>
          <w:snapToGrid w:val="0"/>
          <w:kern w:val="0"/>
          <w:sz w:val="32"/>
          <w:szCs w:val="32"/>
        </w:rPr>
        <w:t>5.</w:t>
      </w:r>
      <w:r>
        <w:rPr>
          <w:rFonts w:hint="eastAsia" w:eastAsia="仿宋_GB2312"/>
          <w:snapToGrid w:val="0"/>
          <w:kern w:val="0"/>
          <w:sz w:val="32"/>
          <w:szCs w:val="32"/>
        </w:rPr>
        <w:t>浙南产业集聚区本级</w:t>
      </w:r>
      <w:r>
        <w:rPr>
          <w:rFonts w:eastAsia="仿宋_GB2312"/>
          <w:snapToGrid w:val="0"/>
          <w:kern w:val="0"/>
          <w:sz w:val="32"/>
          <w:szCs w:val="32"/>
        </w:rPr>
        <w:t>20</w:t>
      </w:r>
      <w:r>
        <w:rPr>
          <w:rFonts w:hint="eastAsia" w:eastAsia="仿宋_GB2312"/>
          <w:snapToGrid w:val="0"/>
          <w:kern w:val="0"/>
          <w:sz w:val="32"/>
          <w:szCs w:val="32"/>
        </w:rPr>
        <w:t>20年一般公共预算</w:t>
      </w:r>
      <w:r>
        <w:rPr>
          <w:rFonts w:eastAsia="仿宋_GB2312"/>
          <w:snapToGrid w:val="0"/>
          <w:kern w:val="0"/>
          <w:sz w:val="32"/>
          <w:szCs w:val="32"/>
        </w:rPr>
        <w:t>“</w:t>
      </w:r>
      <w:r>
        <w:rPr>
          <w:rFonts w:hint="eastAsia" w:eastAsia="仿宋_GB2312"/>
          <w:snapToGrid w:val="0"/>
          <w:kern w:val="0"/>
          <w:sz w:val="32"/>
          <w:szCs w:val="32"/>
        </w:rPr>
        <w:t>三公</w:t>
      </w:r>
      <w:r>
        <w:rPr>
          <w:rFonts w:eastAsia="仿宋_GB2312"/>
          <w:snapToGrid w:val="0"/>
          <w:kern w:val="0"/>
          <w:sz w:val="32"/>
          <w:szCs w:val="32"/>
        </w:rPr>
        <w:t>”</w:t>
      </w:r>
      <w:r>
        <w:rPr>
          <w:rFonts w:hint="eastAsia" w:eastAsia="仿宋_GB2312"/>
          <w:snapToGrid w:val="0"/>
          <w:kern w:val="0"/>
          <w:sz w:val="32"/>
          <w:szCs w:val="32"/>
        </w:rPr>
        <w:t>经费预算表（附表五）</w:t>
      </w:r>
    </w:p>
    <w:p>
      <w:pPr>
        <w:overflowPunct w:val="0"/>
        <w:adjustRightInd w:val="0"/>
        <w:snapToGrid w:val="0"/>
        <w:spacing w:line="360" w:lineRule="auto"/>
        <w:ind w:left="1920" w:hanging="320"/>
        <w:rPr>
          <w:rFonts w:eastAsia="仿宋_GB2312"/>
          <w:snapToGrid w:val="0"/>
          <w:kern w:val="0"/>
          <w:sz w:val="32"/>
          <w:szCs w:val="32"/>
        </w:rPr>
      </w:pPr>
      <w:r>
        <w:rPr>
          <w:rFonts w:eastAsia="仿宋_GB2312"/>
          <w:snapToGrid w:val="0"/>
          <w:kern w:val="0"/>
          <w:sz w:val="32"/>
          <w:szCs w:val="32"/>
        </w:rPr>
        <w:t>6.</w:t>
      </w:r>
      <w:r>
        <w:rPr>
          <w:rFonts w:hint="eastAsia" w:eastAsia="仿宋_GB2312"/>
          <w:snapToGrid w:val="0"/>
          <w:kern w:val="0"/>
          <w:sz w:val="32"/>
          <w:szCs w:val="32"/>
        </w:rPr>
        <w:t>浙南产业集聚区级2020年地方政府一般及专项债务限额和余额情况表（附表六</w:t>
      </w:r>
      <w:r>
        <w:rPr>
          <w:rFonts w:eastAsia="仿宋_GB2312"/>
          <w:snapToGrid w:val="0"/>
          <w:kern w:val="0"/>
          <w:sz w:val="32"/>
          <w:szCs w:val="32"/>
          <w:vertAlign w:val="subscript"/>
        </w:rPr>
        <w:t>-</w:t>
      </w:r>
      <w:r>
        <w:rPr>
          <w:rFonts w:eastAsia="仿宋_GB2312"/>
          <w:snapToGrid w:val="0"/>
          <w:kern w:val="0"/>
          <w:sz w:val="32"/>
          <w:szCs w:val="32"/>
        </w:rPr>
        <w:t>1</w:t>
      </w:r>
      <w:r>
        <w:rPr>
          <w:rFonts w:hint="eastAsia" w:eastAsia="仿宋_GB2312"/>
          <w:snapToGrid w:val="0"/>
          <w:kern w:val="0"/>
          <w:sz w:val="32"/>
          <w:szCs w:val="32"/>
        </w:rPr>
        <w:t>至附表六</w:t>
      </w:r>
      <w:r>
        <w:rPr>
          <w:rFonts w:eastAsia="仿宋_GB2312"/>
          <w:snapToGrid w:val="0"/>
          <w:kern w:val="0"/>
          <w:sz w:val="32"/>
          <w:szCs w:val="32"/>
          <w:vertAlign w:val="subscript"/>
        </w:rPr>
        <w:t>-</w:t>
      </w:r>
      <w:r>
        <w:rPr>
          <w:rFonts w:eastAsia="仿宋_GB2312"/>
          <w:snapToGrid w:val="0"/>
          <w:kern w:val="0"/>
          <w:sz w:val="32"/>
          <w:szCs w:val="32"/>
        </w:rPr>
        <w:t>2</w:t>
      </w:r>
      <w:r>
        <w:rPr>
          <w:rFonts w:hint="eastAsia" w:eastAsia="仿宋_GB2312"/>
          <w:snapToGrid w:val="0"/>
          <w:kern w:val="0"/>
          <w:sz w:val="32"/>
          <w:szCs w:val="32"/>
        </w:rPr>
        <w:t>）</w:t>
      </w:r>
    </w:p>
    <w:p>
      <w:pPr>
        <w:overflowPunct w:val="0"/>
        <w:adjustRightInd w:val="0"/>
        <w:snapToGrid w:val="0"/>
        <w:spacing w:line="360" w:lineRule="auto"/>
        <w:ind w:left="1920" w:hanging="320"/>
        <w:rPr>
          <w:rFonts w:eastAsia="仿宋_GB2312"/>
          <w:snapToGrid w:val="0"/>
          <w:kern w:val="0"/>
          <w:sz w:val="32"/>
          <w:szCs w:val="32"/>
        </w:rPr>
      </w:pPr>
      <w:r>
        <w:rPr>
          <w:rFonts w:hint="eastAsia" w:eastAsia="仿宋_GB2312"/>
          <w:snapToGrid w:val="0"/>
          <w:kern w:val="0"/>
          <w:sz w:val="32"/>
          <w:szCs w:val="32"/>
        </w:rPr>
        <w:t>7</w:t>
      </w:r>
      <w:r>
        <w:rPr>
          <w:rFonts w:eastAsia="仿宋_GB2312"/>
          <w:snapToGrid w:val="0"/>
          <w:kern w:val="0"/>
          <w:sz w:val="32"/>
          <w:szCs w:val="32"/>
        </w:rPr>
        <w:t>.</w:t>
      </w:r>
      <w:r>
        <w:rPr>
          <w:rFonts w:hint="eastAsia" w:eastAsia="仿宋_GB2312"/>
          <w:snapToGrid w:val="0"/>
          <w:kern w:val="0"/>
          <w:sz w:val="32"/>
          <w:szCs w:val="32"/>
        </w:rPr>
        <w:t>浙南产业集聚区2020年一般公共预算税收返还和转移支付情况表（附表七）</w:t>
      </w:r>
    </w:p>
    <w:p>
      <w:pPr>
        <w:overflowPunct w:val="0"/>
        <w:adjustRightInd w:val="0"/>
        <w:snapToGrid w:val="0"/>
        <w:spacing w:line="360" w:lineRule="auto"/>
        <w:ind w:left="1920" w:hanging="320"/>
        <w:rPr>
          <w:rFonts w:eastAsia="仿宋_GB2312"/>
          <w:snapToGrid w:val="0"/>
          <w:kern w:val="0"/>
          <w:sz w:val="32"/>
          <w:szCs w:val="32"/>
        </w:rPr>
      </w:pPr>
      <w:r>
        <w:rPr>
          <w:rFonts w:hint="eastAsia" w:eastAsia="仿宋_GB2312"/>
          <w:snapToGrid w:val="0"/>
          <w:kern w:val="0"/>
          <w:sz w:val="32"/>
          <w:szCs w:val="32"/>
        </w:rPr>
        <w:t>8</w:t>
      </w:r>
      <w:r>
        <w:rPr>
          <w:rFonts w:eastAsia="仿宋_GB2312"/>
          <w:snapToGrid w:val="0"/>
          <w:kern w:val="0"/>
          <w:sz w:val="32"/>
          <w:szCs w:val="32"/>
        </w:rPr>
        <w:t xml:space="preserve">. </w:t>
      </w:r>
      <w:r>
        <w:rPr>
          <w:rFonts w:hint="eastAsia" w:eastAsia="仿宋_GB2312"/>
          <w:snapToGrid w:val="0"/>
          <w:kern w:val="0"/>
          <w:sz w:val="32"/>
          <w:szCs w:val="32"/>
        </w:rPr>
        <w:t>浙南产业集聚区2020年政府性基金转移支付表（附表八）</w:t>
      </w:r>
    </w:p>
    <w:p>
      <w:pPr>
        <w:overflowPunct w:val="0"/>
        <w:adjustRightInd w:val="0"/>
        <w:snapToGrid w:val="0"/>
        <w:spacing w:line="360" w:lineRule="auto"/>
        <w:jc w:val="left"/>
        <w:rPr>
          <w:snapToGrid w:val="0"/>
          <w:kern w:val="0"/>
          <w:sz w:val="24"/>
        </w:rPr>
      </w:pPr>
      <w:r>
        <w:rPr>
          <w:rFonts w:eastAsia="仿宋_GB2312"/>
          <w:snapToGrid w:val="0"/>
          <w:kern w:val="0"/>
          <w:sz w:val="32"/>
          <w:szCs w:val="32"/>
        </w:rPr>
        <w:br w:type="page"/>
      </w:r>
      <w:r>
        <w:rPr>
          <w:rFonts w:hint="eastAsia"/>
          <w:snapToGrid w:val="0"/>
          <w:kern w:val="0"/>
          <w:sz w:val="24"/>
        </w:rPr>
        <w:t>附表一</w:t>
      </w:r>
      <w:r>
        <w:rPr>
          <w:snapToGrid w:val="0"/>
          <w:kern w:val="0"/>
          <w:sz w:val="24"/>
        </w:rPr>
        <w:t>-</w:t>
      </w:r>
      <w:r>
        <w:rPr>
          <w:rFonts w:hint="eastAsia"/>
          <w:snapToGrid w:val="0"/>
          <w:kern w:val="0"/>
          <w:sz w:val="24"/>
        </w:rPr>
        <w:t>1：</w:t>
      </w:r>
    </w:p>
    <w:p>
      <w:pPr>
        <w:overflowPunct w:val="0"/>
        <w:adjustRightInd w:val="0"/>
        <w:snapToGrid w:val="0"/>
        <w:jc w:val="center"/>
        <w:rPr>
          <w:b/>
          <w:bCs/>
          <w:snapToGrid w:val="0"/>
          <w:kern w:val="0"/>
          <w:sz w:val="36"/>
          <w:szCs w:val="36"/>
        </w:rPr>
      </w:pPr>
      <w:r>
        <w:rPr>
          <w:rFonts w:hint="eastAsia"/>
          <w:b/>
          <w:bCs/>
          <w:snapToGrid w:val="0"/>
          <w:kern w:val="0"/>
          <w:sz w:val="36"/>
          <w:szCs w:val="36"/>
        </w:rPr>
        <w:t>浙南产业集聚区一般公共预算收入2019年执行</w:t>
      </w:r>
    </w:p>
    <w:p>
      <w:pPr>
        <w:overflowPunct w:val="0"/>
        <w:adjustRightInd w:val="0"/>
        <w:snapToGrid w:val="0"/>
        <w:jc w:val="center"/>
        <w:rPr>
          <w:b/>
          <w:bCs/>
          <w:snapToGrid w:val="0"/>
          <w:kern w:val="0"/>
          <w:sz w:val="36"/>
          <w:szCs w:val="36"/>
        </w:rPr>
      </w:pPr>
      <w:r>
        <w:rPr>
          <w:rFonts w:hint="eastAsia"/>
          <w:b/>
          <w:bCs/>
          <w:snapToGrid w:val="0"/>
          <w:kern w:val="0"/>
          <w:sz w:val="36"/>
          <w:szCs w:val="36"/>
        </w:rPr>
        <w:t>及2020年预算（草案）</w:t>
      </w:r>
    </w:p>
    <w:p>
      <w:pPr>
        <w:overflowPunct w:val="0"/>
        <w:adjustRightInd w:val="0"/>
        <w:snapToGrid w:val="0"/>
        <w:ind w:right="240"/>
        <w:jc w:val="right"/>
        <w:textAlignment w:val="center"/>
        <w:rPr>
          <w:snapToGrid w:val="0"/>
          <w:color w:val="000000"/>
          <w:kern w:val="0"/>
          <w:sz w:val="24"/>
        </w:rPr>
      </w:pPr>
      <w:r>
        <w:rPr>
          <w:rFonts w:hint="eastAsia"/>
          <w:snapToGrid w:val="0"/>
          <w:color w:val="000000"/>
          <w:kern w:val="0"/>
          <w:sz w:val="24"/>
        </w:rPr>
        <w:t>单位：万元</w:t>
      </w:r>
    </w:p>
    <w:tbl>
      <w:tblPr>
        <w:tblStyle w:val="23"/>
        <w:tblW w:w="5000" w:type="pct"/>
        <w:tblInd w:w="0" w:type="dxa"/>
        <w:tblLayout w:type="autofit"/>
        <w:tblCellMar>
          <w:top w:w="0" w:type="dxa"/>
          <w:left w:w="108" w:type="dxa"/>
          <w:bottom w:w="0" w:type="dxa"/>
          <w:right w:w="108" w:type="dxa"/>
        </w:tblCellMar>
      </w:tblPr>
      <w:tblGrid>
        <w:gridCol w:w="2232"/>
        <w:gridCol w:w="1187"/>
        <w:gridCol w:w="1259"/>
        <w:gridCol w:w="1021"/>
        <w:gridCol w:w="1259"/>
        <w:gridCol w:w="1140"/>
        <w:gridCol w:w="1188"/>
      </w:tblGrid>
      <w:tr>
        <w:tblPrEx>
          <w:tblCellMar>
            <w:top w:w="0" w:type="dxa"/>
            <w:left w:w="108" w:type="dxa"/>
            <w:bottom w:w="0" w:type="dxa"/>
            <w:right w:w="108" w:type="dxa"/>
          </w:tblCellMar>
        </w:tblPrEx>
        <w:trPr>
          <w:trHeight w:val="585" w:hRule="atLeast"/>
        </w:trPr>
        <w:tc>
          <w:tcPr>
            <w:tcW w:w="12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项目</w:t>
            </w:r>
          </w:p>
        </w:tc>
        <w:tc>
          <w:tcPr>
            <w:tcW w:w="63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
                <w:bCs/>
                <w:color w:val="000000"/>
                <w:kern w:val="0"/>
                <w:sz w:val="24"/>
              </w:rPr>
            </w:pPr>
            <w:r>
              <w:rPr>
                <w:rFonts w:ascii="宋体" w:hAnsi="宋体"/>
                <w:b/>
                <w:bCs/>
                <w:color w:val="000000"/>
                <w:kern w:val="0"/>
                <w:sz w:val="24"/>
              </w:rPr>
              <w:t>2019</w:t>
            </w:r>
            <w:r>
              <w:rPr>
                <w:rFonts w:hint="eastAsia" w:ascii="宋体" w:hAnsi="宋体"/>
                <w:b/>
                <w:bCs/>
                <w:color w:val="000000"/>
                <w:kern w:val="0"/>
                <w:sz w:val="24"/>
              </w:rPr>
              <w:t>年预算数</w:t>
            </w:r>
          </w:p>
        </w:tc>
        <w:tc>
          <w:tcPr>
            <w:tcW w:w="67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
                <w:bCs/>
                <w:color w:val="000000"/>
                <w:kern w:val="0"/>
                <w:sz w:val="24"/>
              </w:rPr>
            </w:pPr>
            <w:r>
              <w:rPr>
                <w:rFonts w:ascii="宋体" w:hAnsi="宋体"/>
                <w:b/>
                <w:bCs/>
                <w:color w:val="000000"/>
                <w:kern w:val="0"/>
                <w:sz w:val="24"/>
              </w:rPr>
              <w:t>2019</w:t>
            </w:r>
            <w:r>
              <w:rPr>
                <w:rFonts w:hint="eastAsia" w:ascii="宋体" w:hAnsi="宋体"/>
                <w:b/>
                <w:bCs/>
                <w:color w:val="000000"/>
                <w:kern w:val="0"/>
                <w:sz w:val="24"/>
              </w:rPr>
              <w:t>年执行数</w:t>
            </w:r>
          </w:p>
        </w:tc>
        <w:tc>
          <w:tcPr>
            <w:tcW w:w="5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完成预算%</w:t>
            </w:r>
          </w:p>
        </w:tc>
        <w:tc>
          <w:tcPr>
            <w:tcW w:w="67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同比+、-%</w:t>
            </w:r>
          </w:p>
        </w:tc>
        <w:tc>
          <w:tcPr>
            <w:tcW w:w="61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
                <w:bCs/>
                <w:color w:val="000000"/>
                <w:kern w:val="0"/>
                <w:sz w:val="24"/>
              </w:rPr>
            </w:pPr>
            <w:r>
              <w:rPr>
                <w:rFonts w:ascii="宋体" w:hAnsi="宋体"/>
                <w:b/>
                <w:bCs/>
                <w:color w:val="000000"/>
                <w:kern w:val="0"/>
                <w:sz w:val="24"/>
              </w:rPr>
              <w:t>2020</w:t>
            </w:r>
            <w:r>
              <w:rPr>
                <w:rFonts w:hint="eastAsia" w:ascii="宋体" w:hAnsi="宋体"/>
                <w:b/>
                <w:bCs/>
                <w:color w:val="000000"/>
                <w:kern w:val="0"/>
                <w:sz w:val="24"/>
              </w:rPr>
              <w:t>年预算数</w:t>
            </w:r>
          </w:p>
        </w:tc>
        <w:tc>
          <w:tcPr>
            <w:tcW w:w="63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同比+、-%</w:t>
            </w:r>
          </w:p>
        </w:tc>
      </w:tr>
      <w:tr>
        <w:tblPrEx>
          <w:tblCellMar>
            <w:top w:w="0" w:type="dxa"/>
            <w:left w:w="108" w:type="dxa"/>
            <w:bottom w:w="0" w:type="dxa"/>
            <w:right w:w="108" w:type="dxa"/>
          </w:tblCellMar>
        </w:tblPrEx>
        <w:trPr>
          <w:trHeight w:val="570" w:hRule="atLeast"/>
        </w:trPr>
        <w:tc>
          <w:tcPr>
            <w:tcW w:w="120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收入合计</w:t>
            </w:r>
          </w:p>
        </w:tc>
        <w:tc>
          <w:tcPr>
            <w:tcW w:w="63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b/>
                <w:bCs/>
                <w:color w:val="000000"/>
                <w:kern w:val="0"/>
                <w:sz w:val="24"/>
              </w:rPr>
            </w:pPr>
            <w:r>
              <w:rPr>
                <w:rFonts w:ascii="宋体" w:hAnsi="宋体"/>
                <w:b/>
                <w:bCs/>
                <w:color w:val="000000"/>
                <w:kern w:val="0"/>
                <w:sz w:val="24"/>
              </w:rPr>
              <w:t xml:space="preserve">204000 </w:t>
            </w:r>
          </w:p>
        </w:tc>
        <w:tc>
          <w:tcPr>
            <w:tcW w:w="6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b/>
                <w:bCs/>
                <w:color w:val="000000"/>
                <w:kern w:val="0"/>
                <w:sz w:val="24"/>
              </w:rPr>
            </w:pPr>
            <w:r>
              <w:rPr>
                <w:rFonts w:ascii="宋体" w:hAnsi="宋体"/>
                <w:b/>
                <w:bCs/>
                <w:color w:val="000000"/>
                <w:kern w:val="0"/>
                <w:sz w:val="24"/>
              </w:rPr>
              <w:t xml:space="preserve">204035 </w:t>
            </w:r>
          </w:p>
        </w:tc>
        <w:tc>
          <w:tcPr>
            <w:tcW w:w="5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b/>
                <w:bCs/>
                <w:color w:val="000000"/>
                <w:kern w:val="0"/>
                <w:sz w:val="24"/>
              </w:rPr>
            </w:pPr>
            <w:r>
              <w:rPr>
                <w:rFonts w:ascii="宋体" w:hAnsi="宋体"/>
                <w:b/>
                <w:bCs/>
                <w:color w:val="000000"/>
                <w:kern w:val="0"/>
                <w:sz w:val="24"/>
              </w:rPr>
              <w:t xml:space="preserve">100.0 </w:t>
            </w:r>
          </w:p>
        </w:tc>
        <w:tc>
          <w:tcPr>
            <w:tcW w:w="6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b/>
                <w:bCs/>
                <w:color w:val="000000"/>
                <w:kern w:val="0"/>
                <w:sz w:val="24"/>
              </w:rPr>
            </w:pPr>
            <w:r>
              <w:rPr>
                <w:rFonts w:ascii="宋体" w:hAnsi="宋体"/>
                <w:b/>
                <w:bCs/>
                <w:color w:val="000000"/>
                <w:kern w:val="0"/>
                <w:sz w:val="24"/>
              </w:rPr>
              <w:t xml:space="preserve">21.0 </w:t>
            </w:r>
          </w:p>
        </w:tc>
        <w:tc>
          <w:tcPr>
            <w:tcW w:w="6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b/>
                <w:bCs/>
                <w:color w:val="000000"/>
                <w:kern w:val="0"/>
                <w:sz w:val="24"/>
              </w:rPr>
            </w:pPr>
            <w:r>
              <w:rPr>
                <w:rFonts w:ascii="宋体" w:hAnsi="宋体"/>
                <w:b/>
                <w:bCs/>
                <w:color w:val="000000"/>
                <w:kern w:val="0"/>
                <w:sz w:val="24"/>
              </w:rPr>
              <w:t xml:space="preserve">234600 </w:t>
            </w:r>
          </w:p>
        </w:tc>
        <w:tc>
          <w:tcPr>
            <w:tcW w:w="63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b/>
                <w:bCs/>
                <w:color w:val="000000"/>
                <w:kern w:val="0"/>
                <w:sz w:val="24"/>
              </w:rPr>
            </w:pPr>
            <w:r>
              <w:rPr>
                <w:rFonts w:ascii="宋体" w:hAnsi="宋体"/>
                <w:b/>
                <w:bCs/>
                <w:color w:val="000000"/>
                <w:kern w:val="0"/>
                <w:sz w:val="24"/>
              </w:rPr>
              <w:t xml:space="preserve">15.0 </w:t>
            </w:r>
          </w:p>
        </w:tc>
      </w:tr>
      <w:tr>
        <w:tblPrEx>
          <w:tblCellMar>
            <w:top w:w="0" w:type="dxa"/>
            <w:left w:w="108" w:type="dxa"/>
            <w:bottom w:w="0" w:type="dxa"/>
            <w:right w:w="108" w:type="dxa"/>
          </w:tblCellMar>
        </w:tblPrEx>
        <w:trPr>
          <w:trHeight w:val="570" w:hRule="atLeast"/>
        </w:trPr>
        <w:tc>
          <w:tcPr>
            <w:tcW w:w="1202" w:type="pc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一、税收收入</w:t>
            </w:r>
          </w:p>
        </w:tc>
        <w:tc>
          <w:tcPr>
            <w:tcW w:w="63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171950 </w:t>
            </w:r>
          </w:p>
        </w:tc>
        <w:tc>
          <w:tcPr>
            <w:tcW w:w="6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171575 </w:t>
            </w:r>
          </w:p>
        </w:tc>
        <w:tc>
          <w:tcPr>
            <w:tcW w:w="5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99.8 </w:t>
            </w:r>
          </w:p>
        </w:tc>
        <w:tc>
          <w:tcPr>
            <w:tcW w:w="6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21.1 </w:t>
            </w:r>
          </w:p>
        </w:tc>
        <w:tc>
          <w:tcPr>
            <w:tcW w:w="6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192100 </w:t>
            </w:r>
          </w:p>
        </w:tc>
        <w:tc>
          <w:tcPr>
            <w:tcW w:w="63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12.0 </w:t>
            </w:r>
          </w:p>
        </w:tc>
      </w:tr>
      <w:tr>
        <w:tblPrEx>
          <w:tblCellMar>
            <w:top w:w="0" w:type="dxa"/>
            <w:left w:w="108" w:type="dxa"/>
            <w:bottom w:w="0" w:type="dxa"/>
            <w:right w:w="108" w:type="dxa"/>
          </w:tblCellMar>
        </w:tblPrEx>
        <w:trPr>
          <w:trHeight w:val="315" w:hRule="atLeast"/>
        </w:trPr>
        <w:tc>
          <w:tcPr>
            <w:tcW w:w="1202" w:type="pc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增值税</w:t>
            </w:r>
          </w:p>
        </w:tc>
        <w:tc>
          <w:tcPr>
            <w:tcW w:w="63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92950</w:t>
            </w:r>
          </w:p>
        </w:tc>
        <w:tc>
          <w:tcPr>
            <w:tcW w:w="6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75783 </w:t>
            </w:r>
          </w:p>
        </w:tc>
        <w:tc>
          <w:tcPr>
            <w:tcW w:w="5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81.5 </w:t>
            </w:r>
          </w:p>
        </w:tc>
        <w:tc>
          <w:tcPr>
            <w:tcW w:w="6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-3.4 </w:t>
            </w:r>
          </w:p>
        </w:tc>
        <w:tc>
          <w:tcPr>
            <w:tcW w:w="6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90800</w:t>
            </w:r>
          </w:p>
        </w:tc>
        <w:tc>
          <w:tcPr>
            <w:tcW w:w="63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19.8 </w:t>
            </w:r>
          </w:p>
        </w:tc>
      </w:tr>
      <w:tr>
        <w:tblPrEx>
          <w:tblCellMar>
            <w:top w:w="0" w:type="dxa"/>
            <w:left w:w="108" w:type="dxa"/>
            <w:bottom w:w="0" w:type="dxa"/>
            <w:right w:w="108" w:type="dxa"/>
          </w:tblCellMar>
        </w:tblPrEx>
        <w:trPr>
          <w:trHeight w:val="570" w:hRule="atLeast"/>
        </w:trPr>
        <w:tc>
          <w:tcPr>
            <w:tcW w:w="1202" w:type="pc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企业所得税</w:t>
            </w:r>
          </w:p>
        </w:tc>
        <w:tc>
          <w:tcPr>
            <w:tcW w:w="63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22400</w:t>
            </w:r>
          </w:p>
        </w:tc>
        <w:tc>
          <w:tcPr>
            <w:tcW w:w="6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31168 </w:t>
            </w:r>
          </w:p>
        </w:tc>
        <w:tc>
          <w:tcPr>
            <w:tcW w:w="5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139.1 </w:t>
            </w:r>
          </w:p>
        </w:tc>
        <w:tc>
          <w:tcPr>
            <w:tcW w:w="6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66.3 </w:t>
            </w:r>
          </w:p>
        </w:tc>
        <w:tc>
          <w:tcPr>
            <w:tcW w:w="6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34300</w:t>
            </w:r>
          </w:p>
        </w:tc>
        <w:tc>
          <w:tcPr>
            <w:tcW w:w="63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10.0 </w:t>
            </w:r>
          </w:p>
        </w:tc>
      </w:tr>
      <w:tr>
        <w:tblPrEx>
          <w:tblCellMar>
            <w:top w:w="0" w:type="dxa"/>
            <w:left w:w="108" w:type="dxa"/>
            <w:bottom w:w="0" w:type="dxa"/>
            <w:right w:w="108" w:type="dxa"/>
          </w:tblCellMar>
        </w:tblPrEx>
        <w:trPr>
          <w:trHeight w:val="570" w:hRule="atLeast"/>
        </w:trPr>
        <w:tc>
          <w:tcPr>
            <w:tcW w:w="1202" w:type="pc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个人所得税</w:t>
            </w:r>
          </w:p>
        </w:tc>
        <w:tc>
          <w:tcPr>
            <w:tcW w:w="63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6600</w:t>
            </w:r>
          </w:p>
        </w:tc>
        <w:tc>
          <w:tcPr>
            <w:tcW w:w="6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6536 </w:t>
            </w:r>
          </w:p>
        </w:tc>
        <w:tc>
          <w:tcPr>
            <w:tcW w:w="5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99.0 </w:t>
            </w:r>
          </w:p>
        </w:tc>
        <w:tc>
          <w:tcPr>
            <w:tcW w:w="6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0.9 </w:t>
            </w:r>
          </w:p>
        </w:tc>
        <w:tc>
          <w:tcPr>
            <w:tcW w:w="6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3500</w:t>
            </w:r>
          </w:p>
        </w:tc>
        <w:tc>
          <w:tcPr>
            <w:tcW w:w="63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-46.5 </w:t>
            </w:r>
          </w:p>
        </w:tc>
      </w:tr>
      <w:tr>
        <w:tblPrEx>
          <w:tblCellMar>
            <w:top w:w="0" w:type="dxa"/>
            <w:left w:w="108" w:type="dxa"/>
            <w:bottom w:w="0" w:type="dxa"/>
            <w:right w:w="108" w:type="dxa"/>
          </w:tblCellMar>
        </w:tblPrEx>
        <w:trPr>
          <w:trHeight w:val="315" w:hRule="atLeast"/>
        </w:trPr>
        <w:tc>
          <w:tcPr>
            <w:tcW w:w="1202" w:type="pc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资源税</w:t>
            </w:r>
          </w:p>
        </w:tc>
        <w:tc>
          <w:tcPr>
            <w:tcW w:w="63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300</w:t>
            </w:r>
          </w:p>
        </w:tc>
        <w:tc>
          <w:tcPr>
            <w:tcW w:w="6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31 </w:t>
            </w:r>
          </w:p>
        </w:tc>
        <w:tc>
          <w:tcPr>
            <w:tcW w:w="5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10.3 </w:t>
            </w:r>
          </w:p>
        </w:tc>
        <w:tc>
          <w:tcPr>
            <w:tcW w:w="6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-88.4 </w:t>
            </w:r>
          </w:p>
        </w:tc>
        <w:tc>
          <w:tcPr>
            <w:tcW w:w="6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100</w:t>
            </w:r>
          </w:p>
        </w:tc>
        <w:tc>
          <w:tcPr>
            <w:tcW w:w="63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222.6 </w:t>
            </w:r>
          </w:p>
        </w:tc>
      </w:tr>
      <w:tr>
        <w:tblPrEx>
          <w:tblCellMar>
            <w:top w:w="0" w:type="dxa"/>
            <w:left w:w="108" w:type="dxa"/>
            <w:bottom w:w="0" w:type="dxa"/>
            <w:right w:w="108" w:type="dxa"/>
          </w:tblCellMar>
        </w:tblPrEx>
        <w:trPr>
          <w:trHeight w:val="570" w:hRule="atLeast"/>
        </w:trPr>
        <w:tc>
          <w:tcPr>
            <w:tcW w:w="1202" w:type="pc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城市维护建设税</w:t>
            </w:r>
          </w:p>
        </w:tc>
        <w:tc>
          <w:tcPr>
            <w:tcW w:w="63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16200</w:t>
            </w:r>
          </w:p>
        </w:tc>
        <w:tc>
          <w:tcPr>
            <w:tcW w:w="6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14183 </w:t>
            </w:r>
          </w:p>
        </w:tc>
        <w:tc>
          <w:tcPr>
            <w:tcW w:w="5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87.5 </w:t>
            </w:r>
          </w:p>
        </w:tc>
        <w:tc>
          <w:tcPr>
            <w:tcW w:w="6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8.0 </w:t>
            </w:r>
          </w:p>
        </w:tc>
        <w:tc>
          <w:tcPr>
            <w:tcW w:w="6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17000</w:t>
            </w:r>
          </w:p>
        </w:tc>
        <w:tc>
          <w:tcPr>
            <w:tcW w:w="63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19.9 </w:t>
            </w:r>
          </w:p>
        </w:tc>
      </w:tr>
      <w:tr>
        <w:tblPrEx>
          <w:tblCellMar>
            <w:top w:w="0" w:type="dxa"/>
            <w:left w:w="108" w:type="dxa"/>
            <w:bottom w:w="0" w:type="dxa"/>
            <w:right w:w="108" w:type="dxa"/>
          </w:tblCellMar>
        </w:tblPrEx>
        <w:trPr>
          <w:trHeight w:val="315" w:hRule="atLeast"/>
        </w:trPr>
        <w:tc>
          <w:tcPr>
            <w:tcW w:w="1202" w:type="pc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房产税</w:t>
            </w:r>
          </w:p>
        </w:tc>
        <w:tc>
          <w:tcPr>
            <w:tcW w:w="63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12700</w:t>
            </w:r>
          </w:p>
        </w:tc>
        <w:tc>
          <w:tcPr>
            <w:tcW w:w="6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11652 </w:t>
            </w:r>
          </w:p>
        </w:tc>
        <w:tc>
          <w:tcPr>
            <w:tcW w:w="5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91.7 </w:t>
            </w:r>
          </w:p>
        </w:tc>
        <w:tc>
          <w:tcPr>
            <w:tcW w:w="6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13.1 </w:t>
            </w:r>
          </w:p>
        </w:tc>
        <w:tc>
          <w:tcPr>
            <w:tcW w:w="6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13200</w:t>
            </w:r>
          </w:p>
        </w:tc>
        <w:tc>
          <w:tcPr>
            <w:tcW w:w="63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13.3 </w:t>
            </w:r>
          </w:p>
        </w:tc>
      </w:tr>
      <w:tr>
        <w:tblPrEx>
          <w:tblCellMar>
            <w:top w:w="0" w:type="dxa"/>
            <w:left w:w="108" w:type="dxa"/>
            <w:bottom w:w="0" w:type="dxa"/>
            <w:right w:w="108" w:type="dxa"/>
          </w:tblCellMar>
        </w:tblPrEx>
        <w:trPr>
          <w:trHeight w:val="315" w:hRule="atLeast"/>
        </w:trPr>
        <w:tc>
          <w:tcPr>
            <w:tcW w:w="1202" w:type="pc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印花税</w:t>
            </w:r>
          </w:p>
        </w:tc>
        <w:tc>
          <w:tcPr>
            <w:tcW w:w="63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3800</w:t>
            </w:r>
          </w:p>
        </w:tc>
        <w:tc>
          <w:tcPr>
            <w:tcW w:w="6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4300 </w:t>
            </w:r>
          </w:p>
        </w:tc>
        <w:tc>
          <w:tcPr>
            <w:tcW w:w="5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113.2 </w:t>
            </w:r>
          </w:p>
        </w:tc>
        <w:tc>
          <w:tcPr>
            <w:tcW w:w="6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33.2 </w:t>
            </w:r>
          </w:p>
        </w:tc>
        <w:tc>
          <w:tcPr>
            <w:tcW w:w="6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5000</w:t>
            </w:r>
          </w:p>
        </w:tc>
        <w:tc>
          <w:tcPr>
            <w:tcW w:w="63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16.3 </w:t>
            </w:r>
          </w:p>
        </w:tc>
      </w:tr>
      <w:tr>
        <w:tblPrEx>
          <w:tblCellMar>
            <w:top w:w="0" w:type="dxa"/>
            <w:left w:w="108" w:type="dxa"/>
            <w:bottom w:w="0" w:type="dxa"/>
            <w:right w:w="108" w:type="dxa"/>
          </w:tblCellMar>
        </w:tblPrEx>
        <w:trPr>
          <w:trHeight w:val="570" w:hRule="atLeast"/>
        </w:trPr>
        <w:tc>
          <w:tcPr>
            <w:tcW w:w="1202" w:type="pc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城镇土地使用税</w:t>
            </w:r>
          </w:p>
        </w:tc>
        <w:tc>
          <w:tcPr>
            <w:tcW w:w="63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4700</w:t>
            </w:r>
          </w:p>
        </w:tc>
        <w:tc>
          <w:tcPr>
            <w:tcW w:w="6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2963 </w:t>
            </w:r>
          </w:p>
        </w:tc>
        <w:tc>
          <w:tcPr>
            <w:tcW w:w="5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63.0 </w:t>
            </w:r>
          </w:p>
        </w:tc>
        <w:tc>
          <w:tcPr>
            <w:tcW w:w="6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-22.8 </w:t>
            </w:r>
          </w:p>
        </w:tc>
        <w:tc>
          <w:tcPr>
            <w:tcW w:w="6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3400</w:t>
            </w:r>
          </w:p>
        </w:tc>
        <w:tc>
          <w:tcPr>
            <w:tcW w:w="63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14.7 </w:t>
            </w:r>
          </w:p>
        </w:tc>
      </w:tr>
      <w:tr>
        <w:tblPrEx>
          <w:tblCellMar>
            <w:top w:w="0" w:type="dxa"/>
            <w:left w:w="108" w:type="dxa"/>
            <w:bottom w:w="0" w:type="dxa"/>
            <w:right w:w="108" w:type="dxa"/>
          </w:tblCellMar>
        </w:tblPrEx>
        <w:trPr>
          <w:trHeight w:val="570" w:hRule="atLeast"/>
        </w:trPr>
        <w:tc>
          <w:tcPr>
            <w:tcW w:w="1202" w:type="pc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土地增值税</w:t>
            </w:r>
          </w:p>
        </w:tc>
        <w:tc>
          <w:tcPr>
            <w:tcW w:w="63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4100</w:t>
            </w:r>
          </w:p>
        </w:tc>
        <w:tc>
          <w:tcPr>
            <w:tcW w:w="6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15545 </w:t>
            </w:r>
          </w:p>
        </w:tc>
        <w:tc>
          <w:tcPr>
            <w:tcW w:w="5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379.1 </w:t>
            </w:r>
          </w:p>
        </w:tc>
        <w:tc>
          <w:tcPr>
            <w:tcW w:w="6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361.5 </w:t>
            </w:r>
          </w:p>
        </w:tc>
        <w:tc>
          <w:tcPr>
            <w:tcW w:w="6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15200</w:t>
            </w:r>
          </w:p>
        </w:tc>
        <w:tc>
          <w:tcPr>
            <w:tcW w:w="63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-2.2 </w:t>
            </w:r>
          </w:p>
        </w:tc>
      </w:tr>
      <w:tr>
        <w:tblPrEx>
          <w:tblCellMar>
            <w:top w:w="0" w:type="dxa"/>
            <w:left w:w="108" w:type="dxa"/>
            <w:bottom w:w="0" w:type="dxa"/>
            <w:right w:w="108" w:type="dxa"/>
          </w:tblCellMar>
        </w:tblPrEx>
        <w:trPr>
          <w:trHeight w:val="315" w:hRule="atLeast"/>
        </w:trPr>
        <w:tc>
          <w:tcPr>
            <w:tcW w:w="1202" w:type="pc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车船税</w:t>
            </w:r>
          </w:p>
        </w:tc>
        <w:tc>
          <w:tcPr>
            <w:tcW w:w="63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800</w:t>
            </w:r>
          </w:p>
        </w:tc>
        <w:tc>
          <w:tcPr>
            <w:tcW w:w="6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1266 </w:t>
            </w:r>
          </w:p>
        </w:tc>
        <w:tc>
          <w:tcPr>
            <w:tcW w:w="5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158.3 </w:t>
            </w:r>
          </w:p>
        </w:tc>
        <w:tc>
          <w:tcPr>
            <w:tcW w:w="6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101.0 </w:t>
            </w:r>
          </w:p>
        </w:tc>
        <w:tc>
          <w:tcPr>
            <w:tcW w:w="6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1300</w:t>
            </w:r>
          </w:p>
        </w:tc>
        <w:tc>
          <w:tcPr>
            <w:tcW w:w="63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2.7 </w:t>
            </w:r>
          </w:p>
        </w:tc>
      </w:tr>
      <w:tr>
        <w:tblPrEx>
          <w:tblCellMar>
            <w:top w:w="0" w:type="dxa"/>
            <w:left w:w="108" w:type="dxa"/>
            <w:bottom w:w="0" w:type="dxa"/>
            <w:right w:w="108" w:type="dxa"/>
          </w:tblCellMar>
        </w:tblPrEx>
        <w:trPr>
          <w:trHeight w:val="315" w:hRule="atLeast"/>
        </w:trPr>
        <w:tc>
          <w:tcPr>
            <w:tcW w:w="1202" w:type="pc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耕占税</w:t>
            </w:r>
          </w:p>
        </w:tc>
        <w:tc>
          <w:tcPr>
            <w:tcW w:w="63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7000</w:t>
            </w:r>
          </w:p>
        </w:tc>
        <w:tc>
          <w:tcPr>
            <w:tcW w:w="6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8012 </w:t>
            </w:r>
          </w:p>
        </w:tc>
        <w:tc>
          <w:tcPr>
            <w:tcW w:w="5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114.5 </w:t>
            </w:r>
          </w:p>
        </w:tc>
        <w:tc>
          <w:tcPr>
            <w:tcW w:w="6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156.1 </w:t>
            </w:r>
          </w:p>
        </w:tc>
        <w:tc>
          <w:tcPr>
            <w:tcW w:w="6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8000</w:t>
            </w:r>
          </w:p>
        </w:tc>
        <w:tc>
          <w:tcPr>
            <w:tcW w:w="63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-0.1 </w:t>
            </w:r>
          </w:p>
        </w:tc>
      </w:tr>
      <w:tr>
        <w:tblPrEx>
          <w:tblCellMar>
            <w:top w:w="0" w:type="dxa"/>
            <w:left w:w="108" w:type="dxa"/>
            <w:bottom w:w="0" w:type="dxa"/>
            <w:right w:w="108" w:type="dxa"/>
          </w:tblCellMar>
        </w:tblPrEx>
        <w:trPr>
          <w:trHeight w:val="570" w:hRule="atLeast"/>
        </w:trPr>
        <w:tc>
          <w:tcPr>
            <w:tcW w:w="1202" w:type="pc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环境保护税</w:t>
            </w:r>
          </w:p>
        </w:tc>
        <w:tc>
          <w:tcPr>
            <w:tcW w:w="63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400</w:t>
            </w:r>
          </w:p>
        </w:tc>
        <w:tc>
          <w:tcPr>
            <w:tcW w:w="6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122 </w:t>
            </w:r>
          </w:p>
        </w:tc>
        <w:tc>
          <w:tcPr>
            <w:tcW w:w="5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30.4 </w:t>
            </w:r>
          </w:p>
        </w:tc>
        <w:tc>
          <w:tcPr>
            <w:tcW w:w="6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16.9 </w:t>
            </w:r>
          </w:p>
        </w:tc>
        <w:tc>
          <w:tcPr>
            <w:tcW w:w="6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300</w:t>
            </w:r>
          </w:p>
        </w:tc>
        <w:tc>
          <w:tcPr>
            <w:tcW w:w="63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146.8 </w:t>
            </w:r>
          </w:p>
        </w:tc>
      </w:tr>
      <w:tr>
        <w:tblPrEx>
          <w:tblCellMar>
            <w:top w:w="0" w:type="dxa"/>
            <w:left w:w="108" w:type="dxa"/>
            <w:bottom w:w="0" w:type="dxa"/>
            <w:right w:w="108" w:type="dxa"/>
          </w:tblCellMar>
        </w:tblPrEx>
        <w:trPr>
          <w:trHeight w:val="315" w:hRule="atLeast"/>
        </w:trPr>
        <w:tc>
          <w:tcPr>
            <w:tcW w:w="1202" w:type="pc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其他税收</w:t>
            </w:r>
          </w:p>
        </w:tc>
        <w:tc>
          <w:tcPr>
            <w:tcW w:w="63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6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14 </w:t>
            </w:r>
          </w:p>
        </w:tc>
        <w:tc>
          <w:tcPr>
            <w:tcW w:w="5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6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6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0</w:t>
            </w:r>
          </w:p>
        </w:tc>
        <w:tc>
          <w:tcPr>
            <w:tcW w:w="63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-100.0 </w:t>
            </w:r>
          </w:p>
        </w:tc>
      </w:tr>
      <w:tr>
        <w:tblPrEx>
          <w:tblCellMar>
            <w:top w:w="0" w:type="dxa"/>
            <w:left w:w="108" w:type="dxa"/>
            <w:bottom w:w="0" w:type="dxa"/>
            <w:right w:w="108" w:type="dxa"/>
          </w:tblCellMar>
        </w:tblPrEx>
        <w:trPr>
          <w:trHeight w:val="570" w:hRule="atLeast"/>
        </w:trPr>
        <w:tc>
          <w:tcPr>
            <w:tcW w:w="1202" w:type="pc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二、非税收入</w:t>
            </w:r>
          </w:p>
        </w:tc>
        <w:tc>
          <w:tcPr>
            <w:tcW w:w="63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32050 </w:t>
            </w:r>
          </w:p>
        </w:tc>
        <w:tc>
          <w:tcPr>
            <w:tcW w:w="6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32460 </w:t>
            </w:r>
          </w:p>
        </w:tc>
        <w:tc>
          <w:tcPr>
            <w:tcW w:w="5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101.3 </w:t>
            </w:r>
          </w:p>
        </w:tc>
        <w:tc>
          <w:tcPr>
            <w:tcW w:w="6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20.4 </w:t>
            </w:r>
          </w:p>
        </w:tc>
        <w:tc>
          <w:tcPr>
            <w:tcW w:w="6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42500 </w:t>
            </w:r>
          </w:p>
        </w:tc>
        <w:tc>
          <w:tcPr>
            <w:tcW w:w="63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30.9 </w:t>
            </w:r>
          </w:p>
        </w:tc>
      </w:tr>
      <w:tr>
        <w:tblPrEx>
          <w:tblCellMar>
            <w:top w:w="0" w:type="dxa"/>
            <w:left w:w="108" w:type="dxa"/>
            <w:bottom w:w="0" w:type="dxa"/>
            <w:right w:w="108" w:type="dxa"/>
          </w:tblCellMar>
        </w:tblPrEx>
        <w:trPr>
          <w:trHeight w:val="315" w:hRule="atLeast"/>
        </w:trPr>
        <w:tc>
          <w:tcPr>
            <w:tcW w:w="1202" w:type="pc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专项收入</w:t>
            </w:r>
          </w:p>
        </w:tc>
        <w:tc>
          <w:tcPr>
            <w:tcW w:w="63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10500</w:t>
            </w:r>
          </w:p>
        </w:tc>
        <w:tc>
          <w:tcPr>
            <w:tcW w:w="6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10790</w:t>
            </w:r>
          </w:p>
        </w:tc>
        <w:tc>
          <w:tcPr>
            <w:tcW w:w="5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102.8 </w:t>
            </w:r>
          </w:p>
        </w:tc>
        <w:tc>
          <w:tcPr>
            <w:tcW w:w="6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16.7 </w:t>
            </w:r>
          </w:p>
        </w:tc>
        <w:tc>
          <w:tcPr>
            <w:tcW w:w="6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12300</w:t>
            </w:r>
          </w:p>
        </w:tc>
        <w:tc>
          <w:tcPr>
            <w:tcW w:w="63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14.0 </w:t>
            </w:r>
          </w:p>
        </w:tc>
      </w:tr>
      <w:tr>
        <w:tblPrEx>
          <w:tblCellMar>
            <w:top w:w="0" w:type="dxa"/>
            <w:left w:w="108" w:type="dxa"/>
            <w:bottom w:w="0" w:type="dxa"/>
            <w:right w:w="108" w:type="dxa"/>
          </w:tblCellMar>
        </w:tblPrEx>
        <w:trPr>
          <w:trHeight w:val="855" w:hRule="atLeast"/>
        </w:trPr>
        <w:tc>
          <w:tcPr>
            <w:tcW w:w="1202" w:type="pc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行政事业性收费收入</w:t>
            </w:r>
          </w:p>
        </w:tc>
        <w:tc>
          <w:tcPr>
            <w:tcW w:w="63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6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5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6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6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2400.0 </w:t>
            </w:r>
          </w:p>
        </w:tc>
        <w:tc>
          <w:tcPr>
            <w:tcW w:w="63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r>
      <w:tr>
        <w:tblPrEx>
          <w:tblCellMar>
            <w:top w:w="0" w:type="dxa"/>
            <w:left w:w="108" w:type="dxa"/>
            <w:bottom w:w="0" w:type="dxa"/>
            <w:right w:w="108" w:type="dxa"/>
          </w:tblCellMar>
        </w:tblPrEx>
        <w:trPr>
          <w:trHeight w:val="315" w:hRule="atLeast"/>
        </w:trPr>
        <w:tc>
          <w:tcPr>
            <w:tcW w:w="1202" w:type="pc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罚没收入</w:t>
            </w:r>
          </w:p>
        </w:tc>
        <w:tc>
          <w:tcPr>
            <w:tcW w:w="639" w:type="pct"/>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2000</w:t>
            </w:r>
          </w:p>
        </w:tc>
        <w:tc>
          <w:tcPr>
            <w:tcW w:w="6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1981</w:t>
            </w:r>
          </w:p>
        </w:tc>
        <w:tc>
          <w:tcPr>
            <w:tcW w:w="5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99.1 </w:t>
            </w:r>
          </w:p>
        </w:tc>
        <w:tc>
          <w:tcPr>
            <w:tcW w:w="6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24662.5 </w:t>
            </w:r>
          </w:p>
        </w:tc>
        <w:tc>
          <w:tcPr>
            <w:tcW w:w="6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5300.0 </w:t>
            </w:r>
          </w:p>
        </w:tc>
        <w:tc>
          <w:tcPr>
            <w:tcW w:w="63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167.5 </w:t>
            </w:r>
          </w:p>
        </w:tc>
      </w:tr>
      <w:tr>
        <w:tblPrEx>
          <w:tblCellMar>
            <w:top w:w="0" w:type="dxa"/>
            <w:left w:w="108" w:type="dxa"/>
            <w:bottom w:w="0" w:type="dxa"/>
            <w:right w:w="108" w:type="dxa"/>
          </w:tblCellMar>
        </w:tblPrEx>
        <w:trPr>
          <w:trHeight w:val="1140" w:hRule="atLeast"/>
        </w:trPr>
        <w:tc>
          <w:tcPr>
            <w:tcW w:w="1202" w:type="pc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国有资源（资产）有偿使用收入</w:t>
            </w:r>
          </w:p>
        </w:tc>
        <w:tc>
          <w:tcPr>
            <w:tcW w:w="639" w:type="pct"/>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19550</w:t>
            </w:r>
          </w:p>
        </w:tc>
        <w:tc>
          <w:tcPr>
            <w:tcW w:w="6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19689</w:t>
            </w:r>
          </w:p>
        </w:tc>
        <w:tc>
          <w:tcPr>
            <w:tcW w:w="5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100.7 </w:t>
            </w:r>
          </w:p>
        </w:tc>
        <w:tc>
          <w:tcPr>
            <w:tcW w:w="6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11.8 </w:t>
            </w:r>
          </w:p>
        </w:tc>
        <w:tc>
          <w:tcPr>
            <w:tcW w:w="6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22500</w:t>
            </w:r>
          </w:p>
        </w:tc>
        <w:tc>
          <w:tcPr>
            <w:tcW w:w="63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14.3 </w:t>
            </w:r>
          </w:p>
        </w:tc>
      </w:tr>
    </w:tbl>
    <w:p>
      <w:pPr>
        <w:widowControl/>
        <w:jc w:val="left"/>
        <w:rPr>
          <w:bCs/>
          <w:snapToGrid w:val="0"/>
          <w:kern w:val="0"/>
          <w:sz w:val="28"/>
          <w:szCs w:val="28"/>
        </w:rPr>
      </w:pPr>
      <w:r>
        <w:rPr>
          <w:bCs/>
          <w:snapToGrid w:val="0"/>
          <w:kern w:val="0"/>
          <w:sz w:val="28"/>
          <w:szCs w:val="28"/>
        </w:rPr>
        <w:br w:type="page"/>
      </w:r>
    </w:p>
    <w:p>
      <w:pPr>
        <w:overflowPunct w:val="0"/>
        <w:adjustRightInd w:val="0"/>
        <w:snapToGrid w:val="0"/>
        <w:spacing w:line="360" w:lineRule="auto"/>
        <w:jc w:val="left"/>
        <w:rPr>
          <w:snapToGrid w:val="0"/>
          <w:kern w:val="0"/>
          <w:sz w:val="24"/>
        </w:rPr>
      </w:pPr>
      <w:r>
        <w:rPr>
          <w:rFonts w:hint="eastAsia"/>
          <w:snapToGrid w:val="0"/>
          <w:kern w:val="0"/>
          <w:sz w:val="24"/>
        </w:rPr>
        <w:t>附表一</w:t>
      </w:r>
      <w:r>
        <w:rPr>
          <w:snapToGrid w:val="0"/>
          <w:kern w:val="0"/>
          <w:sz w:val="24"/>
        </w:rPr>
        <w:t>-</w:t>
      </w:r>
      <w:r>
        <w:rPr>
          <w:rFonts w:hint="eastAsia"/>
          <w:snapToGrid w:val="0"/>
          <w:kern w:val="0"/>
          <w:sz w:val="24"/>
        </w:rPr>
        <w:t>2：</w:t>
      </w:r>
    </w:p>
    <w:p>
      <w:pPr>
        <w:overflowPunct w:val="0"/>
        <w:adjustRightInd w:val="0"/>
        <w:snapToGrid w:val="0"/>
        <w:jc w:val="center"/>
        <w:rPr>
          <w:b/>
          <w:bCs/>
          <w:snapToGrid w:val="0"/>
          <w:kern w:val="0"/>
          <w:sz w:val="36"/>
          <w:szCs w:val="36"/>
        </w:rPr>
      </w:pPr>
      <w:r>
        <w:rPr>
          <w:rFonts w:hint="eastAsia"/>
          <w:b/>
          <w:bCs/>
          <w:snapToGrid w:val="0"/>
          <w:kern w:val="0"/>
          <w:sz w:val="36"/>
          <w:szCs w:val="36"/>
        </w:rPr>
        <w:t>浙南产业集聚区一般公共预算支出2019年执行</w:t>
      </w:r>
    </w:p>
    <w:p>
      <w:pPr>
        <w:overflowPunct w:val="0"/>
        <w:adjustRightInd w:val="0"/>
        <w:snapToGrid w:val="0"/>
        <w:jc w:val="center"/>
        <w:rPr>
          <w:b/>
          <w:bCs/>
          <w:snapToGrid w:val="0"/>
          <w:kern w:val="0"/>
          <w:sz w:val="36"/>
          <w:szCs w:val="36"/>
        </w:rPr>
      </w:pPr>
      <w:r>
        <w:rPr>
          <w:rFonts w:hint="eastAsia"/>
          <w:b/>
          <w:bCs/>
          <w:snapToGrid w:val="0"/>
          <w:kern w:val="0"/>
          <w:sz w:val="36"/>
          <w:szCs w:val="36"/>
        </w:rPr>
        <w:t>及2020年预算（草案）</w:t>
      </w:r>
    </w:p>
    <w:p>
      <w:pPr>
        <w:widowControl/>
        <w:jc w:val="right"/>
        <w:rPr>
          <w:snapToGrid w:val="0"/>
          <w:kern w:val="0"/>
          <w:sz w:val="24"/>
        </w:rPr>
      </w:pPr>
      <w:r>
        <w:rPr>
          <w:rFonts w:hint="eastAsia"/>
          <w:snapToGrid w:val="0"/>
          <w:kern w:val="0"/>
          <w:sz w:val="24"/>
        </w:rPr>
        <w:t>单位：万元</w:t>
      </w:r>
    </w:p>
    <w:tbl>
      <w:tblPr>
        <w:tblStyle w:val="23"/>
        <w:tblW w:w="4997" w:type="pct"/>
        <w:tblInd w:w="0" w:type="dxa"/>
        <w:tblLayout w:type="autofit"/>
        <w:tblCellMar>
          <w:top w:w="0" w:type="dxa"/>
          <w:left w:w="0" w:type="dxa"/>
          <w:bottom w:w="0" w:type="dxa"/>
          <w:right w:w="0" w:type="dxa"/>
        </w:tblCellMar>
      </w:tblPr>
      <w:tblGrid>
        <w:gridCol w:w="3134"/>
        <w:gridCol w:w="1154"/>
        <w:gridCol w:w="970"/>
        <w:gridCol w:w="894"/>
        <w:gridCol w:w="956"/>
        <w:gridCol w:w="970"/>
        <w:gridCol w:w="1017"/>
      </w:tblGrid>
      <w:tr>
        <w:tblPrEx>
          <w:tblCellMar>
            <w:top w:w="0" w:type="dxa"/>
            <w:left w:w="0" w:type="dxa"/>
            <w:bottom w:w="0" w:type="dxa"/>
            <w:right w:w="0" w:type="dxa"/>
          </w:tblCellMar>
        </w:tblPrEx>
        <w:trPr>
          <w:trHeight w:val="720" w:hRule="atLeast"/>
        </w:trPr>
        <w:tc>
          <w:tcPr>
            <w:tcW w:w="17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项目</w:t>
            </w:r>
          </w:p>
        </w:tc>
        <w:tc>
          <w:tcPr>
            <w:tcW w:w="6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color w:val="000000"/>
                <w:sz w:val="24"/>
              </w:rPr>
            </w:pPr>
            <w:r>
              <w:rPr>
                <w:b/>
                <w:color w:val="000000"/>
                <w:kern w:val="0"/>
                <w:sz w:val="24"/>
              </w:rPr>
              <w:t>2019</w:t>
            </w:r>
            <w:r>
              <w:rPr>
                <w:rFonts w:hint="eastAsia" w:ascii="宋体" w:hAnsi="宋体" w:cs="宋体"/>
                <w:b/>
                <w:color w:val="000000"/>
                <w:kern w:val="0"/>
                <w:sz w:val="24"/>
              </w:rPr>
              <w:t>年调整预算数</w:t>
            </w:r>
          </w:p>
        </w:tc>
        <w:tc>
          <w:tcPr>
            <w:tcW w:w="5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color w:val="000000"/>
                <w:sz w:val="24"/>
              </w:rPr>
            </w:pPr>
            <w:r>
              <w:rPr>
                <w:b/>
                <w:color w:val="000000"/>
                <w:kern w:val="0"/>
                <w:sz w:val="24"/>
              </w:rPr>
              <w:t>2019</w:t>
            </w:r>
            <w:r>
              <w:rPr>
                <w:rFonts w:hint="eastAsia" w:ascii="宋体" w:hAnsi="宋体" w:cs="宋体"/>
                <w:b/>
                <w:color w:val="000000"/>
                <w:kern w:val="0"/>
                <w:sz w:val="24"/>
              </w:rPr>
              <w:t>年执行数</w:t>
            </w:r>
          </w:p>
        </w:tc>
        <w:tc>
          <w:tcPr>
            <w:tcW w:w="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完成预算%</w:t>
            </w:r>
          </w:p>
        </w:tc>
        <w:tc>
          <w:tcPr>
            <w:tcW w:w="5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同比+、-%</w:t>
            </w:r>
          </w:p>
        </w:tc>
        <w:tc>
          <w:tcPr>
            <w:tcW w:w="5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color w:val="000000"/>
                <w:sz w:val="24"/>
              </w:rPr>
            </w:pPr>
            <w:r>
              <w:rPr>
                <w:b/>
                <w:color w:val="000000"/>
                <w:kern w:val="0"/>
                <w:sz w:val="24"/>
              </w:rPr>
              <w:t>2020</w:t>
            </w:r>
            <w:r>
              <w:rPr>
                <w:rFonts w:hint="eastAsia" w:ascii="宋体" w:hAnsi="宋体" w:cs="宋体"/>
                <w:b/>
                <w:color w:val="000000"/>
                <w:kern w:val="0"/>
                <w:sz w:val="24"/>
              </w:rPr>
              <w:t>年预算数</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同比+、-%</w:t>
            </w:r>
          </w:p>
        </w:tc>
      </w:tr>
      <w:tr>
        <w:tblPrEx>
          <w:tblCellMar>
            <w:top w:w="0" w:type="dxa"/>
            <w:left w:w="0" w:type="dxa"/>
            <w:bottom w:w="0" w:type="dxa"/>
            <w:right w:w="0" w:type="dxa"/>
          </w:tblCellMar>
        </w:tblPrEx>
        <w:trPr>
          <w:trHeight w:val="454" w:hRule="exact"/>
        </w:trPr>
        <w:tc>
          <w:tcPr>
            <w:tcW w:w="17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宋体" w:hAnsi="宋体" w:cs="宋体"/>
                <w:b/>
                <w:color w:val="000000"/>
                <w:sz w:val="24"/>
              </w:rPr>
            </w:pPr>
            <w:r>
              <w:rPr>
                <w:rFonts w:hint="eastAsia" w:ascii="宋体" w:hAnsi="宋体" w:cs="宋体"/>
                <w:b/>
                <w:color w:val="000000"/>
                <w:kern w:val="0"/>
                <w:sz w:val="24"/>
              </w:rPr>
              <w:t>收入合计</w:t>
            </w:r>
          </w:p>
        </w:tc>
        <w:tc>
          <w:tcPr>
            <w:tcW w:w="6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b/>
                <w:color w:val="000000"/>
                <w:sz w:val="24"/>
              </w:rPr>
            </w:pPr>
            <w:r>
              <w:rPr>
                <w:b/>
                <w:color w:val="000000"/>
                <w:kern w:val="0"/>
                <w:sz w:val="24"/>
              </w:rPr>
              <w:t>229800</w:t>
            </w:r>
          </w:p>
        </w:tc>
        <w:tc>
          <w:tcPr>
            <w:tcW w:w="5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b/>
                <w:color w:val="000000"/>
                <w:sz w:val="24"/>
              </w:rPr>
            </w:pPr>
            <w:r>
              <w:rPr>
                <w:b/>
                <w:color w:val="000000"/>
                <w:kern w:val="0"/>
                <w:sz w:val="24"/>
              </w:rPr>
              <w:t>227562</w:t>
            </w:r>
          </w:p>
        </w:tc>
        <w:tc>
          <w:tcPr>
            <w:tcW w:w="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b/>
                <w:color w:val="000000"/>
                <w:sz w:val="24"/>
              </w:rPr>
            </w:pPr>
            <w:r>
              <w:rPr>
                <w:b/>
                <w:color w:val="000000"/>
                <w:kern w:val="0"/>
                <w:sz w:val="24"/>
              </w:rPr>
              <w:t>99.0</w:t>
            </w:r>
          </w:p>
        </w:tc>
        <w:tc>
          <w:tcPr>
            <w:tcW w:w="5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b/>
                <w:color w:val="000000"/>
                <w:sz w:val="24"/>
              </w:rPr>
            </w:pPr>
            <w:r>
              <w:rPr>
                <w:b/>
                <w:color w:val="000000"/>
                <w:kern w:val="0"/>
                <w:sz w:val="24"/>
              </w:rPr>
              <w:t>34.9</w:t>
            </w:r>
          </w:p>
        </w:tc>
        <w:tc>
          <w:tcPr>
            <w:tcW w:w="5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b/>
                <w:color w:val="000000"/>
                <w:sz w:val="24"/>
              </w:rPr>
            </w:pPr>
            <w:r>
              <w:rPr>
                <w:b/>
                <w:color w:val="000000"/>
                <w:kern w:val="0"/>
                <w:sz w:val="24"/>
              </w:rPr>
              <w:t>220000</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b/>
                <w:color w:val="000000"/>
                <w:sz w:val="24"/>
              </w:rPr>
            </w:pPr>
            <w:r>
              <w:rPr>
                <w:b/>
                <w:color w:val="000000"/>
                <w:kern w:val="0"/>
                <w:sz w:val="24"/>
              </w:rPr>
              <w:t>-3.3</w:t>
            </w:r>
          </w:p>
        </w:tc>
      </w:tr>
      <w:tr>
        <w:tblPrEx>
          <w:tblCellMar>
            <w:top w:w="0" w:type="dxa"/>
            <w:left w:w="0" w:type="dxa"/>
            <w:bottom w:w="0" w:type="dxa"/>
            <w:right w:w="0" w:type="dxa"/>
          </w:tblCellMar>
        </w:tblPrEx>
        <w:trPr>
          <w:trHeight w:val="454" w:hRule="exact"/>
        </w:trPr>
        <w:tc>
          <w:tcPr>
            <w:tcW w:w="17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rPr>
                <w:rFonts w:ascii="宋体" w:hAnsi="宋体" w:cs="宋体"/>
                <w:color w:val="000000"/>
                <w:kern w:val="0"/>
                <w:sz w:val="24"/>
              </w:rPr>
            </w:pPr>
            <w:r>
              <w:rPr>
                <w:rFonts w:hint="eastAsia" w:ascii="宋体" w:hAnsi="宋体" w:cs="宋体"/>
                <w:color w:val="000000"/>
                <w:kern w:val="0"/>
                <w:sz w:val="24"/>
              </w:rPr>
              <w:t>一、一般公共服务支出</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34379</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34389</w:t>
            </w:r>
          </w:p>
        </w:tc>
        <w:tc>
          <w:tcPr>
            <w:tcW w:w="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100.0</w:t>
            </w:r>
          </w:p>
        </w:tc>
        <w:tc>
          <w:tcPr>
            <w:tcW w:w="5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-5.8</w:t>
            </w:r>
          </w:p>
        </w:tc>
        <w:tc>
          <w:tcPr>
            <w:tcW w:w="5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36559</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6.3</w:t>
            </w:r>
          </w:p>
        </w:tc>
      </w:tr>
      <w:tr>
        <w:tblPrEx>
          <w:tblCellMar>
            <w:top w:w="0" w:type="dxa"/>
            <w:left w:w="0" w:type="dxa"/>
            <w:bottom w:w="0" w:type="dxa"/>
            <w:right w:w="0" w:type="dxa"/>
          </w:tblCellMar>
        </w:tblPrEx>
        <w:trPr>
          <w:trHeight w:val="454" w:hRule="exact"/>
        </w:trPr>
        <w:tc>
          <w:tcPr>
            <w:tcW w:w="17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rPr>
                <w:rFonts w:ascii="宋体" w:hAnsi="宋体" w:cs="宋体"/>
                <w:color w:val="000000"/>
                <w:kern w:val="0"/>
                <w:sz w:val="24"/>
              </w:rPr>
            </w:pPr>
            <w:r>
              <w:rPr>
                <w:rFonts w:hint="eastAsia" w:ascii="宋体" w:hAnsi="宋体" w:cs="宋体"/>
                <w:color w:val="000000"/>
                <w:kern w:val="0"/>
                <w:sz w:val="24"/>
              </w:rPr>
              <w:t>二、国防支出</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300</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302</w:t>
            </w:r>
          </w:p>
        </w:tc>
        <w:tc>
          <w:tcPr>
            <w:tcW w:w="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100.7</w:t>
            </w:r>
          </w:p>
        </w:tc>
        <w:tc>
          <w:tcPr>
            <w:tcW w:w="5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91.1</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145</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-52.0</w:t>
            </w:r>
          </w:p>
        </w:tc>
      </w:tr>
      <w:tr>
        <w:tblPrEx>
          <w:tblCellMar>
            <w:top w:w="0" w:type="dxa"/>
            <w:left w:w="0" w:type="dxa"/>
            <w:bottom w:w="0" w:type="dxa"/>
            <w:right w:w="0" w:type="dxa"/>
          </w:tblCellMar>
        </w:tblPrEx>
        <w:trPr>
          <w:trHeight w:val="454" w:hRule="exact"/>
        </w:trPr>
        <w:tc>
          <w:tcPr>
            <w:tcW w:w="17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rPr>
                <w:rFonts w:ascii="宋体" w:hAnsi="宋体" w:cs="宋体"/>
                <w:color w:val="000000"/>
                <w:kern w:val="0"/>
                <w:sz w:val="24"/>
              </w:rPr>
            </w:pPr>
            <w:r>
              <w:rPr>
                <w:rFonts w:hint="eastAsia" w:ascii="宋体" w:hAnsi="宋体" w:cs="宋体"/>
                <w:color w:val="000000"/>
                <w:kern w:val="0"/>
                <w:sz w:val="24"/>
              </w:rPr>
              <w:t>三、公共安全支出</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18427</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18373</w:t>
            </w:r>
          </w:p>
        </w:tc>
        <w:tc>
          <w:tcPr>
            <w:tcW w:w="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99.7</w:t>
            </w:r>
          </w:p>
        </w:tc>
        <w:tc>
          <w:tcPr>
            <w:tcW w:w="5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18742</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0" w:type="dxa"/>
            <w:bottom w:w="0" w:type="dxa"/>
            <w:right w:w="0" w:type="dxa"/>
          </w:tblCellMar>
        </w:tblPrEx>
        <w:trPr>
          <w:trHeight w:val="454" w:hRule="exact"/>
        </w:trPr>
        <w:tc>
          <w:tcPr>
            <w:tcW w:w="17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rPr>
                <w:rFonts w:ascii="宋体" w:hAnsi="宋体" w:cs="宋体"/>
                <w:color w:val="000000"/>
                <w:kern w:val="0"/>
                <w:sz w:val="24"/>
              </w:rPr>
            </w:pPr>
            <w:r>
              <w:rPr>
                <w:rFonts w:hint="eastAsia" w:ascii="宋体" w:hAnsi="宋体" w:cs="宋体"/>
                <w:color w:val="000000"/>
                <w:kern w:val="0"/>
                <w:sz w:val="24"/>
              </w:rPr>
              <w:t>四、教育支出</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30506</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30499</w:t>
            </w:r>
          </w:p>
        </w:tc>
        <w:tc>
          <w:tcPr>
            <w:tcW w:w="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100.0</w:t>
            </w:r>
          </w:p>
        </w:tc>
        <w:tc>
          <w:tcPr>
            <w:tcW w:w="5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15.2</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33055</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8.4</w:t>
            </w:r>
          </w:p>
        </w:tc>
      </w:tr>
      <w:tr>
        <w:tblPrEx>
          <w:tblCellMar>
            <w:top w:w="0" w:type="dxa"/>
            <w:left w:w="0" w:type="dxa"/>
            <w:bottom w:w="0" w:type="dxa"/>
            <w:right w:w="0" w:type="dxa"/>
          </w:tblCellMar>
        </w:tblPrEx>
        <w:trPr>
          <w:trHeight w:val="454" w:hRule="exact"/>
        </w:trPr>
        <w:tc>
          <w:tcPr>
            <w:tcW w:w="17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rPr>
                <w:rFonts w:ascii="宋体" w:hAnsi="宋体" w:cs="宋体"/>
                <w:color w:val="000000"/>
                <w:kern w:val="0"/>
                <w:sz w:val="24"/>
              </w:rPr>
            </w:pPr>
            <w:r>
              <w:rPr>
                <w:rFonts w:hint="eastAsia" w:ascii="宋体" w:hAnsi="宋体" w:cs="宋体"/>
                <w:color w:val="000000"/>
                <w:kern w:val="0"/>
                <w:sz w:val="24"/>
              </w:rPr>
              <w:t>五、科学技术支出</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24285</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23910</w:t>
            </w:r>
          </w:p>
        </w:tc>
        <w:tc>
          <w:tcPr>
            <w:tcW w:w="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98.5</w:t>
            </w:r>
          </w:p>
        </w:tc>
        <w:tc>
          <w:tcPr>
            <w:tcW w:w="5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127.8</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27568</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15.3</w:t>
            </w:r>
          </w:p>
        </w:tc>
      </w:tr>
      <w:tr>
        <w:tblPrEx>
          <w:tblCellMar>
            <w:top w:w="0" w:type="dxa"/>
            <w:left w:w="0" w:type="dxa"/>
            <w:bottom w:w="0" w:type="dxa"/>
            <w:right w:w="0" w:type="dxa"/>
          </w:tblCellMar>
        </w:tblPrEx>
        <w:trPr>
          <w:trHeight w:val="454" w:hRule="exact"/>
        </w:trPr>
        <w:tc>
          <w:tcPr>
            <w:tcW w:w="17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rPr>
                <w:rFonts w:ascii="宋体" w:hAnsi="宋体" w:cs="宋体"/>
                <w:color w:val="000000"/>
                <w:kern w:val="0"/>
                <w:sz w:val="24"/>
              </w:rPr>
            </w:pPr>
            <w:r>
              <w:rPr>
                <w:rFonts w:hint="eastAsia" w:ascii="宋体" w:hAnsi="宋体" w:cs="宋体"/>
                <w:color w:val="000000"/>
                <w:kern w:val="0"/>
                <w:sz w:val="24"/>
              </w:rPr>
              <w:t>六、文化旅游体育与传媒支出</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1334</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927</w:t>
            </w:r>
          </w:p>
        </w:tc>
        <w:tc>
          <w:tcPr>
            <w:tcW w:w="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69.5</w:t>
            </w:r>
          </w:p>
        </w:tc>
        <w:tc>
          <w:tcPr>
            <w:tcW w:w="5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-11.7</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1300</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40.2</w:t>
            </w:r>
          </w:p>
        </w:tc>
      </w:tr>
      <w:tr>
        <w:tblPrEx>
          <w:tblCellMar>
            <w:top w:w="0" w:type="dxa"/>
            <w:left w:w="0" w:type="dxa"/>
            <w:bottom w:w="0" w:type="dxa"/>
            <w:right w:w="0" w:type="dxa"/>
          </w:tblCellMar>
        </w:tblPrEx>
        <w:trPr>
          <w:trHeight w:val="454" w:hRule="exact"/>
        </w:trPr>
        <w:tc>
          <w:tcPr>
            <w:tcW w:w="17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rPr>
                <w:rFonts w:ascii="宋体" w:hAnsi="宋体" w:cs="宋体"/>
                <w:color w:val="000000"/>
                <w:kern w:val="0"/>
                <w:sz w:val="24"/>
              </w:rPr>
            </w:pPr>
            <w:r>
              <w:rPr>
                <w:rFonts w:hint="eastAsia" w:ascii="宋体" w:hAnsi="宋体" w:cs="宋体"/>
                <w:color w:val="000000"/>
                <w:kern w:val="0"/>
                <w:sz w:val="24"/>
              </w:rPr>
              <w:t>七、社会保障和就业支出</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9619</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9558</w:t>
            </w:r>
          </w:p>
        </w:tc>
        <w:tc>
          <w:tcPr>
            <w:tcW w:w="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99.4</w:t>
            </w:r>
          </w:p>
        </w:tc>
        <w:tc>
          <w:tcPr>
            <w:tcW w:w="5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11.5</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10690</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11.8</w:t>
            </w:r>
          </w:p>
        </w:tc>
      </w:tr>
      <w:tr>
        <w:tblPrEx>
          <w:tblCellMar>
            <w:top w:w="0" w:type="dxa"/>
            <w:left w:w="0" w:type="dxa"/>
            <w:bottom w:w="0" w:type="dxa"/>
            <w:right w:w="0" w:type="dxa"/>
          </w:tblCellMar>
        </w:tblPrEx>
        <w:trPr>
          <w:trHeight w:val="454" w:hRule="exact"/>
        </w:trPr>
        <w:tc>
          <w:tcPr>
            <w:tcW w:w="17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rPr>
                <w:rFonts w:ascii="宋体" w:hAnsi="宋体" w:cs="宋体"/>
                <w:color w:val="000000"/>
                <w:kern w:val="0"/>
                <w:sz w:val="24"/>
              </w:rPr>
            </w:pPr>
            <w:r>
              <w:rPr>
                <w:rFonts w:hint="eastAsia" w:ascii="宋体" w:hAnsi="宋体" w:cs="宋体"/>
                <w:color w:val="000000"/>
                <w:kern w:val="0"/>
                <w:sz w:val="24"/>
              </w:rPr>
              <w:t>八、卫生健康支出</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12179</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11589</w:t>
            </w:r>
          </w:p>
        </w:tc>
        <w:tc>
          <w:tcPr>
            <w:tcW w:w="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95.2</w:t>
            </w:r>
          </w:p>
        </w:tc>
        <w:tc>
          <w:tcPr>
            <w:tcW w:w="5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-17.7</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18605</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60.5</w:t>
            </w:r>
          </w:p>
        </w:tc>
      </w:tr>
      <w:tr>
        <w:tblPrEx>
          <w:tblCellMar>
            <w:top w:w="0" w:type="dxa"/>
            <w:left w:w="0" w:type="dxa"/>
            <w:bottom w:w="0" w:type="dxa"/>
            <w:right w:w="0" w:type="dxa"/>
          </w:tblCellMar>
        </w:tblPrEx>
        <w:trPr>
          <w:trHeight w:val="454" w:hRule="exact"/>
        </w:trPr>
        <w:tc>
          <w:tcPr>
            <w:tcW w:w="17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rPr>
                <w:rFonts w:ascii="宋体" w:hAnsi="宋体" w:cs="宋体"/>
                <w:color w:val="000000"/>
                <w:kern w:val="0"/>
                <w:sz w:val="24"/>
              </w:rPr>
            </w:pPr>
            <w:r>
              <w:rPr>
                <w:rFonts w:hint="eastAsia" w:ascii="宋体" w:hAnsi="宋体" w:cs="宋体"/>
                <w:color w:val="000000"/>
                <w:kern w:val="0"/>
                <w:sz w:val="24"/>
              </w:rPr>
              <w:t>九、节能环保支出</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6918</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6846</w:t>
            </w:r>
          </w:p>
        </w:tc>
        <w:tc>
          <w:tcPr>
            <w:tcW w:w="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99.0</w:t>
            </w:r>
          </w:p>
        </w:tc>
        <w:tc>
          <w:tcPr>
            <w:tcW w:w="5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-35.5</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9630</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40.7</w:t>
            </w:r>
          </w:p>
        </w:tc>
      </w:tr>
      <w:tr>
        <w:tblPrEx>
          <w:tblCellMar>
            <w:top w:w="0" w:type="dxa"/>
            <w:left w:w="0" w:type="dxa"/>
            <w:bottom w:w="0" w:type="dxa"/>
            <w:right w:w="0" w:type="dxa"/>
          </w:tblCellMar>
        </w:tblPrEx>
        <w:trPr>
          <w:trHeight w:val="454" w:hRule="exact"/>
        </w:trPr>
        <w:tc>
          <w:tcPr>
            <w:tcW w:w="17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rPr>
                <w:rFonts w:ascii="宋体" w:hAnsi="宋体" w:cs="宋体"/>
                <w:color w:val="000000"/>
                <w:kern w:val="0"/>
                <w:sz w:val="24"/>
              </w:rPr>
            </w:pPr>
            <w:r>
              <w:rPr>
                <w:rFonts w:hint="eastAsia" w:ascii="宋体" w:hAnsi="宋体" w:cs="宋体"/>
                <w:color w:val="000000"/>
                <w:kern w:val="0"/>
                <w:sz w:val="24"/>
              </w:rPr>
              <w:t>十、城乡社区支出</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52873</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52879</w:t>
            </w:r>
          </w:p>
        </w:tc>
        <w:tc>
          <w:tcPr>
            <w:tcW w:w="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100.0</w:t>
            </w:r>
          </w:p>
        </w:tc>
        <w:tc>
          <w:tcPr>
            <w:tcW w:w="5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142.9</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26125</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-50.6</w:t>
            </w:r>
          </w:p>
        </w:tc>
      </w:tr>
      <w:tr>
        <w:tblPrEx>
          <w:tblCellMar>
            <w:top w:w="0" w:type="dxa"/>
            <w:left w:w="0" w:type="dxa"/>
            <w:bottom w:w="0" w:type="dxa"/>
            <w:right w:w="0" w:type="dxa"/>
          </w:tblCellMar>
        </w:tblPrEx>
        <w:trPr>
          <w:trHeight w:val="454" w:hRule="exact"/>
        </w:trPr>
        <w:tc>
          <w:tcPr>
            <w:tcW w:w="17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rPr>
                <w:rFonts w:ascii="宋体" w:hAnsi="宋体" w:cs="宋体"/>
                <w:color w:val="000000"/>
                <w:kern w:val="0"/>
                <w:sz w:val="24"/>
              </w:rPr>
            </w:pPr>
            <w:r>
              <w:rPr>
                <w:rFonts w:hint="eastAsia" w:ascii="宋体" w:hAnsi="宋体" w:cs="宋体"/>
                <w:color w:val="000000"/>
                <w:kern w:val="0"/>
                <w:sz w:val="24"/>
              </w:rPr>
              <w:t>十一、农林水支出</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9780</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9659</w:t>
            </w:r>
          </w:p>
        </w:tc>
        <w:tc>
          <w:tcPr>
            <w:tcW w:w="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98.8</w:t>
            </w:r>
          </w:p>
        </w:tc>
        <w:tc>
          <w:tcPr>
            <w:tcW w:w="5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100.3</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6847</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-29.1</w:t>
            </w:r>
          </w:p>
        </w:tc>
      </w:tr>
      <w:tr>
        <w:tblPrEx>
          <w:tblCellMar>
            <w:top w:w="0" w:type="dxa"/>
            <w:left w:w="0" w:type="dxa"/>
            <w:bottom w:w="0" w:type="dxa"/>
            <w:right w:w="0" w:type="dxa"/>
          </w:tblCellMar>
        </w:tblPrEx>
        <w:trPr>
          <w:trHeight w:val="454" w:hRule="exact"/>
        </w:trPr>
        <w:tc>
          <w:tcPr>
            <w:tcW w:w="17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rPr>
                <w:rFonts w:ascii="宋体" w:hAnsi="宋体" w:cs="宋体"/>
                <w:color w:val="000000"/>
                <w:kern w:val="0"/>
                <w:sz w:val="24"/>
              </w:rPr>
            </w:pPr>
            <w:r>
              <w:rPr>
                <w:rFonts w:hint="eastAsia" w:ascii="宋体" w:hAnsi="宋体" w:cs="宋体"/>
                <w:color w:val="000000"/>
                <w:kern w:val="0"/>
                <w:sz w:val="24"/>
              </w:rPr>
              <w:t>十二、资源勘探信息等支出</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10007</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9977</w:t>
            </w:r>
          </w:p>
        </w:tc>
        <w:tc>
          <w:tcPr>
            <w:tcW w:w="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99.7</w:t>
            </w:r>
          </w:p>
        </w:tc>
        <w:tc>
          <w:tcPr>
            <w:tcW w:w="5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53.8</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17500</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75.4</w:t>
            </w:r>
          </w:p>
        </w:tc>
      </w:tr>
      <w:tr>
        <w:tblPrEx>
          <w:tblCellMar>
            <w:top w:w="0" w:type="dxa"/>
            <w:left w:w="0" w:type="dxa"/>
            <w:bottom w:w="0" w:type="dxa"/>
            <w:right w:w="0" w:type="dxa"/>
          </w:tblCellMar>
        </w:tblPrEx>
        <w:trPr>
          <w:trHeight w:val="454" w:hRule="exact"/>
        </w:trPr>
        <w:tc>
          <w:tcPr>
            <w:tcW w:w="17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rPr>
                <w:rFonts w:ascii="宋体" w:hAnsi="宋体" w:cs="宋体"/>
                <w:color w:val="000000"/>
                <w:kern w:val="0"/>
                <w:sz w:val="24"/>
              </w:rPr>
            </w:pPr>
            <w:r>
              <w:rPr>
                <w:rFonts w:hint="eastAsia" w:ascii="宋体" w:hAnsi="宋体" w:cs="宋体"/>
                <w:color w:val="000000"/>
                <w:kern w:val="0"/>
                <w:sz w:val="24"/>
              </w:rPr>
              <w:t>十三、商业服务业等支出</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380</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65</w:t>
            </w:r>
          </w:p>
        </w:tc>
        <w:tc>
          <w:tcPr>
            <w:tcW w:w="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17.1</w:t>
            </w:r>
          </w:p>
        </w:tc>
        <w:tc>
          <w:tcPr>
            <w:tcW w:w="5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-90.8</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300</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361.5</w:t>
            </w:r>
          </w:p>
        </w:tc>
      </w:tr>
      <w:tr>
        <w:tblPrEx>
          <w:tblCellMar>
            <w:top w:w="0" w:type="dxa"/>
            <w:left w:w="0" w:type="dxa"/>
            <w:bottom w:w="0" w:type="dxa"/>
            <w:right w:w="0" w:type="dxa"/>
          </w:tblCellMar>
        </w:tblPrEx>
        <w:trPr>
          <w:trHeight w:val="454" w:hRule="exact"/>
        </w:trPr>
        <w:tc>
          <w:tcPr>
            <w:tcW w:w="17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rPr>
                <w:rFonts w:ascii="宋体" w:hAnsi="宋体" w:cs="宋体"/>
                <w:color w:val="000000"/>
                <w:kern w:val="0"/>
                <w:sz w:val="24"/>
              </w:rPr>
            </w:pPr>
            <w:r>
              <w:rPr>
                <w:rFonts w:hint="eastAsia" w:ascii="宋体" w:hAnsi="宋体" w:cs="宋体"/>
                <w:color w:val="000000"/>
                <w:kern w:val="0"/>
                <w:sz w:val="24"/>
              </w:rPr>
              <w:t>十四、金融支出</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10000</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10213</w:t>
            </w:r>
          </w:p>
        </w:tc>
        <w:tc>
          <w:tcPr>
            <w:tcW w:w="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102.1</w:t>
            </w:r>
          </w:p>
        </w:tc>
        <w:tc>
          <w:tcPr>
            <w:tcW w:w="5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1980.0</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200</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-98.0</w:t>
            </w:r>
          </w:p>
        </w:tc>
      </w:tr>
      <w:tr>
        <w:tblPrEx>
          <w:tblCellMar>
            <w:top w:w="0" w:type="dxa"/>
            <w:left w:w="0" w:type="dxa"/>
            <w:bottom w:w="0" w:type="dxa"/>
            <w:right w:w="0" w:type="dxa"/>
          </w:tblCellMar>
        </w:tblPrEx>
        <w:trPr>
          <w:trHeight w:val="454" w:hRule="exact"/>
        </w:trPr>
        <w:tc>
          <w:tcPr>
            <w:tcW w:w="17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rPr>
                <w:rFonts w:ascii="宋体" w:hAnsi="宋体" w:cs="宋体"/>
                <w:color w:val="000000"/>
                <w:kern w:val="0"/>
                <w:sz w:val="24"/>
              </w:rPr>
            </w:pPr>
            <w:r>
              <w:rPr>
                <w:rFonts w:hint="eastAsia" w:ascii="宋体" w:hAnsi="宋体" w:cs="宋体"/>
                <w:color w:val="000000"/>
                <w:kern w:val="0"/>
                <w:sz w:val="24"/>
              </w:rPr>
              <w:t>十五、援助其他地区支出</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1003</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1003</w:t>
            </w:r>
          </w:p>
        </w:tc>
        <w:tc>
          <w:tcPr>
            <w:tcW w:w="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100.0</w:t>
            </w:r>
          </w:p>
        </w:tc>
        <w:tc>
          <w:tcPr>
            <w:tcW w:w="5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20.0</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976</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-2.7</w:t>
            </w:r>
          </w:p>
        </w:tc>
      </w:tr>
      <w:tr>
        <w:tblPrEx>
          <w:tblCellMar>
            <w:top w:w="0" w:type="dxa"/>
            <w:left w:w="0" w:type="dxa"/>
            <w:bottom w:w="0" w:type="dxa"/>
            <w:right w:w="0" w:type="dxa"/>
          </w:tblCellMar>
        </w:tblPrEx>
        <w:trPr>
          <w:trHeight w:val="705" w:hRule="exact"/>
        </w:trPr>
        <w:tc>
          <w:tcPr>
            <w:tcW w:w="17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rPr>
                <w:rFonts w:ascii="宋体" w:hAnsi="宋体" w:cs="宋体"/>
                <w:color w:val="000000"/>
                <w:kern w:val="0"/>
                <w:sz w:val="24"/>
              </w:rPr>
            </w:pPr>
            <w:r>
              <w:rPr>
                <w:rFonts w:hint="eastAsia" w:ascii="宋体" w:hAnsi="宋体" w:cs="宋体"/>
                <w:color w:val="000000"/>
                <w:kern w:val="0"/>
                <w:sz w:val="24"/>
              </w:rPr>
              <w:t>十六、自然资源海洋气象等支出</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669</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665</w:t>
            </w:r>
          </w:p>
        </w:tc>
        <w:tc>
          <w:tcPr>
            <w:tcW w:w="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99.4</w:t>
            </w:r>
          </w:p>
        </w:tc>
        <w:tc>
          <w:tcPr>
            <w:tcW w:w="5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-85.4</w:t>
            </w:r>
          </w:p>
        </w:tc>
        <w:tc>
          <w:tcPr>
            <w:tcW w:w="5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953</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43.3</w:t>
            </w:r>
          </w:p>
        </w:tc>
      </w:tr>
      <w:tr>
        <w:tblPrEx>
          <w:tblCellMar>
            <w:top w:w="0" w:type="dxa"/>
            <w:left w:w="0" w:type="dxa"/>
            <w:bottom w:w="0" w:type="dxa"/>
            <w:right w:w="0" w:type="dxa"/>
          </w:tblCellMar>
        </w:tblPrEx>
        <w:trPr>
          <w:trHeight w:val="454" w:hRule="exact"/>
        </w:trPr>
        <w:tc>
          <w:tcPr>
            <w:tcW w:w="17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rPr>
                <w:rFonts w:ascii="宋体" w:hAnsi="宋体" w:cs="宋体"/>
                <w:color w:val="000000"/>
                <w:kern w:val="0"/>
                <w:sz w:val="24"/>
              </w:rPr>
            </w:pPr>
            <w:r>
              <w:rPr>
                <w:rFonts w:hint="eastAsia" w:ascii="宋体" w:hAnsi="宋体" w:cs="宋体"/>
                <w:color w:val="000000"/>
                <w:kern w:val="0"/>
                <w:sz w:val="24"/>
              </w:rPr>
              <w:t>十七、住房保障支出</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2306</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2174</w:t>
            </w:r>
          </w:p>
        </w:tc>
        <w:tc>
          <w:tcPr>
            <w:tcW w:w="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94.3</w:t>
            </w:r>
          </w:p>
        </w:tc>
        <w:tc>
          <w:tcPr>
            <w:tcW w:w="5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1.1</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2714</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24.8</w:t>
            </w:r>
          </w:p>
        </w:tc>
      </w:tr>
      <w:tr>
        <w:tblPrEx>
          <w:tblCellMar>
            <w:top w:w="0" w:type="dxa"/>
            <w:left w:w="0" w:type="dxa"/>
            <w:bottom w:w="0" w:type="dxa"/>
            <w:right w:w="0" w:type="dxa"/>
          </w:tblCellMar>
        </w:tblPrEx>
        <w:trPr>
          <w:trHeight w:val="644" w:hRule="exact"/>
        </w:trPr>
        <w:tc>
          <w:tcPr>
            <w:tcW w:w="17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rPr>
                <w:rFonts w:ascii="宋体" w:hAnsi="宋体" w:cs="宋体"/>
                <w:color w:val="000000"/>
                <w:kern w:val="0"/>
                <w:sz w:val="24"/>
              </w:rPr>
            </w:pPr>
            <w:r>
              <w:rPr>
                <w:rFonts w:hint="eastAsia" w:ascii="宋体" w:hAnsi="宋体" w:cs="宋体"/>
                <w:color w:val="000000"/>
                <w:kern w:val="0"/>
                <w:sz w:val="24"/>
              </w:rPr>
              <w:t>十八、灾害防治及应急管理支出</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4183</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3882</w:t>
            </w:r>
          </w:p>
        </w:tc>
        <w:tc>
          <w:tcPr>
            <w:tcW w:w="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92.8</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4414</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13.7</w:t>
            </w:r>
          </w:p>
        </w:tc>
      </w:tr>
      <w:tr>
        <w:tblPrEx>
          <w:tblCellMar>
            <w:top w:w="0" w:type="dxa"/>
            <w:left w:w="0" w:type="dxa"/>
            <w:bottom w:w="0" w:type="dxa"/>
            <w:right w:w="0" w:type="dxa"/>
          </w:tblCellMar>
        </w:tblPrEx>
        <w:trPr>
          <w:trHeight w:val="454" w:hRule="exact"/>
        </w:trPr>
        <w:tc>
          <w:tcPr>
            <w:tcW w:w="17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rPr>
                <w:rFonts w:ascii="宋体" w:hAnsi="宋体" w:cs="宋体"/>
                <w:color w:val="000000"/>
                <w:kern w:val="0"/>
                <w:sz w:val="24"/>
              </w:rPr>
            </w:pPr>
            <w:r>
              <w:rPr>
                <w:rFonts w:hint="eastAsia" w:ascii="宋体" w:hAnsi="宋体" w:cs="宋体"/>
                <w:color w:val="000000"/>
                <w:kern w:val="0"/>
                <w:sz w:val="24"/>
              </w:rPr>
              <w:t>十九、预备费</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5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3000</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w:t>
            </w:r>
          </w:p>
        </w:tc>
      </w:tr>
      <w:tr>
        <w:tblPrEx>
          <w:tblCellMar>
            <w:top w:w="0" w:type="dxa"/>
            <w:left w:w="0" w:type="dxa"/>
            <w:bottom w:w="0" w:type="dxa"/>
            <w:right w:w="0" w:type="dxa"/>
          </w:tblCellMar>
        </w:tblPrEx>
        <w:trPr>
          <w:trHeight w:val="454" w:hRule="exact"/>
        </w:trPr>
        <w:tc>
          <w:tcPr>
            <w:tcW w:w="17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rPr>
                <w:rFonts w:ascii="宋体" w:hAnsi="宋体" w:cs="宋体"/>
                <w:color w:val="000000"/>
                <w:kern w:val="0"/>
                <w:sz w:val="24"/>
              </w:rPr>
            </w:pPr>
            <w:r>
              <w:rPr>
                <w:rFonts w:hint="eastAsia" w:ascii="宋体" w:hAnsi="宋体" w:cs="宋体"/>
                <w:color w:val="000000"/>
                <w:kern w:val="0"/>
                <w:sz w:val="24"/>
              </w:rPr>
              <w:t>二十、债务付息支出</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652</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652</w:t>
            </w:r>
          </w:p>
        </w:tc>
        <w:tc>
          <w:tcPr>
            <w:tcW w:w="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100.0</w:t>
            </w:r>
          </w:p>
        </w:tc>
        <w:tc>
          <w:tcPr>
            <w:tcW w:w="5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0.0</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652</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0.0</w:t>
            </w:r>
          </w:p>
        </w:tc>
      </w:tr>
      <w:tr>
        <w:tblPrEx>
          <w:tblCellMar>
            <w:top w:w="0" w:type="dxa"/>
            <w:left w:w="0" w:type="dxa"/>
            <w:bottom w:w="0" w:type="dxa"/>
            <w:right w:w="0" w:type="dxa"/>
          </w:tblCellMar>
        </w:tblPrEx>
        <w:trPr>
          <w:trHeight w:val="454" w:hRule="exact"/>
        </w:trPr>
        <w:tc>
          <w:tcPr>
            <w:tcW w:w="17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rPr>
                <w:rFonts w:ascii="宋体" w:hAnsi="宋体" w:cs="宋体"/>
                <w:color w:val="000000"/>
                <w:kern w:val="0"/>
                <w:sz w:val="24"/>
              </w:rPr>
            </w:pPr>
            <w:r>
              <w:rPr>
                <w:rFonts w:hint="eastAsia" w:ascii="宋体" w:hAnsi="宋体" w:cs="宋体"/>
                <w:color w:val="000000"/>
                <w:kern w:val="0"/>
                <w:sz w:val="24"/>
              </w:rPr>
              <w:t>二十一、债务发行费用支出</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25</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rPr>
                <w:rFonts w:ascii="宋体" w:hAnsi="宋体" w:cs="宋体"/>
                <w:color w:val="000000"/>
                <w:kern w:val="0"/>
                <w:sz w:val="24"/>
              </w:rPr>
            </w:pPr>
            <w:r>
              <w:rPr>
                <w:rFonts w:hint="eastAsia" w:ascii="宋体" w:hAnsi="宋体" w:cs="宋体"/>
                <w:color w:val="000000"/>
                <w:kern w:val="0"/>
                <w:sz w:val="24"/>
              </w:rPr>
              <w:t>——</w:t>
            </w:r>
          </w:p>
        </w:tc>
      </w:tr>
    </w:tbl>
    <w:p>
      <w:pPr>
        <w:widowControl/>
        <w:jc w:val="left"/>
        <w:rPr>
          <w:snapToGrid w:val="0"/>
          <w:kern w:val="0"/>
          <w:sz w:val="24"/>
        </w:rPr>
      </w:pPr>
    </w:p>
    <w:p>
      <w:pPr>
        <w:overflowPunct w:val="0"/>
        <w:adjustRightInd w:val="0"/>
        <w:snapToGrid w:val="0"/>
        <w:spacing w:line="360" w:lineRule="auto"/>
        <w:jc w:val="left"/>
        <w:rPr>
          <w:snapToGrid w:val="0"/>
          <w:kern w:val="0"/>
          <w:sz w:val="24"/>
        </w:rPr>
      </w:pPr>
    </w:p>
    <w:p>
      <w:pPr>
        <w:overflowPunct w:val="0"/>
        <w:adjustRightInd w:val="0"/>
        <w:snapToGrid w:val="0"/>
        <w:spacing w:line="360" w:lineRule="auto"/>
        <w:jc w:val="left"/>
        <w:rPr>
          <w:snapToGrid w:val="0"/>
          <w:kern w:val="0"/>
          <w:sz w:val="24"/>
        </w:rPr>
      </w:pPr>
      <w:r>
        <w:rPr>
          <w:rFonts w:hint="eastAsia"/>
          <w:snapToGrid w:val="0"/>
          <w:kern w:val="0"/>
          <w:sz w:val="24"/>
        </w:rPr>
        <w:t>附表一</w:t>
      </w:r>
      <w:r>
        <w:rPr>
          <w:snapToGrid w:val="0"/>
          <w:kern w:val="0"/>
          <w:sz w:val="24"/>
        </w:rPr>
        <w:t>-</w:t>
      </w:r>
      <w:r>
        <w:rPr>
          <w:rFonts w:hint="eastAsia"/>
          <w:snapToGrid w:val="0"/>
          <w:kern w:val="0"/>
          <w:sz w:val="24"/>
        </w:rPr>
        <w:t>3：</w:t>
      </w:r>
    </w:p>
    <w:p>
      <w:pPr>
        <w:overflowPunct w:val="0"/>
        <w:adjustRightInd w:val="0"/>
        <w:snapToGrid w:val="0"/>
        <w:jc w:val="center"/>
        <w:rPr>
          <w:b/>
          <w:bCs/>
          <w:snapToGrid w:val="0"/>
          <w:kern w:val="0"/>
          <w:sz w:val="36"/>
          <w:szCs w:val="36"/>
        </w:rPr>
      </w:pPr>
      <w:r>
        <w:rPr>
          <w:rFonts w:hint="eastAsia"/>
          <w:b/>
          <w:bCs/>
          <w:snapToGrid w:val="0"/>
          <w:kern w:val="0"/>
          <w:sz w:val="36"/>
          <w:szCs w:val="36"/>
        </w:rPr>
        <w:t>浙南产业集聚区本级一般公共预算支出2019年执行</w:t>
      </w:r>
    </w:p>
    <w:p>
      <w:pPr>
        <w:overflowPunct w:val="0"/>
        <w:adjustRightInd w:val="0"/>
        <w:snapToGrid w:val="0"/>
        <w:jc w:val="center"/>
        <w:rPr>
          <w:b/>
          <w:bCs/>
          <w:snapToGrid w:val="0"/>
          <w:kern w:val="0"/>
          <w:sz w:val="36"/>
          <w:szCs w:val="36"/>
        </w:rPr>
      </w:pPr>
      <w:r>
        <w:rPr>
          <w:rFonts w:hint="eastAsia"/>
          <w:b/>
          <w:bCs/>
          <w:snapToGrid w:val="0"/>
          <w:kern w:val="0"/>
          <w:sz w:val="36"/>
          <w:szCs w:val="36"/>
        </w:rPr>
        <w:t>及2020年预算（草案）</w:t>
      </w:r>
    </w:p>
    <w:p>
      <w:pPr>
        <w:overflowPunct w:val="0"/>
        <w:adjustRightInd w:val="0"/>
        <w:snapToGrid w:val="0"/>
        <w:ind w:right="480"/>
        <w:jc w:val="right"/>
        <w:rPr>
          <w:snapToGrid w:val="0"/>
          <w:kern w:val="0"/>
          <w:sz w:val="24"/>
        </w:rPr>
      </w:pPr>
      <w:r>
        <w:rPr>
          <w:rFonts w:hint="eastAsia"/>
          <w:snapToGrid w:val="0"/>
          <w:kern w:val="0"/>
          <w:sz w:val="24"/>
        </w:rPr>
        <w:t>单位：万元</w:t>
      </w:r>
    </w:p>
    <w:tbl>
      <w:tblPr>
        <w:tblStyle w:val="23"/>
        <w:tblW w:w="4997" w:type="pct"/>
        <w:tblInd w:w="0" w:type="dxa"/>
        <w:tblLayout w:type="autofit"/>
        <w:tblCellMar>
          <w:top w:w="0" w:type="dxa"/>
          <w:left w:w="0" w:type="dxa"/>
          <w:bottom w:w="0" w:type="dxa"/>
          <w:right w:w="0" w:type="dxa"/>
        </w:tblCellMar>
      </w:tblPr>
      <w:tblGrid>
        <w:gridCol w:w="3023"/>
        <w:gridCol w:w="1012"/>
        <w:gridCol w:w="1012"/>
        <w:gridCol w:w="1012"/>
        <w:gridCol w:w="1012"/>
        <w:gridCol w:w="1012"/>
        <w:gridCol w:w="1012"/>
      </w:tblGrid>
      <w:tr>
        <w:tblPrEx>
          <w:tblCellMar>
            <w:top w:w="0" w:type="dxa"/>
            <w:left w:w="0" w:type="dxa"/>
            <w:bottom w:w="0" w:type="dxa"/>
            <w:right w:w="0" w:type="dxa"/>
          </w:tblCellMar>
        </w:tblPrEx>
        <w:trPr>
          <w:trHeight w:val="885" w:hRule="atLeast"/>
          <w:tblHeader/>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项目</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color w:val="000000"/>
                <w:sz w:val="24"/>
              </w:rPr>
            </w:pPr>
            <w:r>
              <w:rPr>
                <w:b/>
                <w:color w:val="000000"/>
                <w:kern w:val="0"/>
                <w:sz w:val="24"/>
              </w:rPr>
              <w:t>2019</w:t>
            </w:r>
            <w:r>
              <w:rPr>
                <w:rFonts w:hint="eastAsia" w:ascii="宋体" w:hAnsi="宋体" w:cs="宋体"/>
                <w:b/>
                <w:color w:val="000000"/>
                <w:kern w:val="0"/>
                <w:sz w:val="24"/>
              </w:rPr>
              <w:t>年调整预算数</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color w:val="000000"/>
                <w:sz w:val="24"/>
              </w:rPr>
            </w:pPr>
            <w:r>
              <w:rPr>
                <w:b/>
                <w:color w:val="000000"/>
                <w:kern w:val="0"/>
                <w:sz w:val="24"/>
              </w:rPr>
              <w:t>2019</w:t>
            </w:r>
            <w:r>
              <w:rPr>
                <w:rFonts w:hint="eastAsia" w:ascii="宋体" w:hAnsi="宋体" w:cs="宋体"/>
                <w:b/>
                <w:color w:val="000000"/>
                <w:kern w:val="0"/>
                <w:sz w:val="24"/>
              </w:rPr>
              <w:t>年执行数</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完成预算%</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同比+、-%</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color w:val="000000"/>
                <w:sz w:val="24"/>
              </w:rPr>
            </w:pPr>
            <w:r>
              <w:rPr>
                <w:b/>
                <w:color w:val="000000"/>
                <w:kern w:val="0"/>
                <w:sz w:val="24"/>
              </w:rPr>
              <w:t>2020</w:t>
            </w:r>
            <w:r>
              <w:rPr>
                <w:rFonts w:hint="eastAsia" w:ascii="宋体" w:hAnsi="宋体" w:cs="宋体"/>
                <w:b/>
                <w:color w:val="000000"/>
                <w:kern w:val="0"/>
                <w:sz w:val="24"/>
              </w:rPr>
              <w:t>年预算数</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同比+、-%</w:t>
            </w:r>
          </w:p>
        </w:tc>
      </w:tr>
      <w:tr>
        <w:tblPrEx>
          <w:tblCellMar>
            <w:top w:w="0" w:type="dxa"/>
            <w:left w:w="0" w:type="dxa"/>
            <w:bottom w:w="0" w:type="dxa"/>
            <w:right w:w="0" w:type="dxa"/>
          </w:tblCellMar>
        </w:tblPrEx>
        <w:trPr>
          <w:trHeight w:val="31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支出合计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b/>
                <w:color w:val="000000"/>
                <w:sz w:val="24"/>
              </w:rPr>
            </w:pPr>
            <w:r>
              <w:rPr>
                <w:b/>
                <w:color w:val="000000"/>
                <w:kern w:val="0"/>
                <w:sz w:val="24"/>
              </w:rPr>
              <w:t>229800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b/>
                <w:color w:val="000000"/>
                <w:sz w:val="24"/>
              </w:rPr>
            </w:pPr>
            <w:r>
              <w:rPr>
                <w:b/>
                <w:color w:val="000000"/>
                <w:kern w:val="0"/>
                <w:sz w:val="24"/>
              </w:rPr>
              <w:t>227562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b/>
                <w:color w:val="000000"/>
                <w:sz w:val="24"/>
              </w:rPr>
            </w:pPr>
            <w:r>
              <w:rPr>
                <w:b/>
                <w:color w:val="000000"/>
                <w:kern w:val="0"/>
                <w:sz w:val="24"/>
              </w:rPr>
              <w:t xml:space="preserve">99.0 </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b/>
                <w:color w:val="000000"/>
                <w:sz w:val="24"/>
              </w:rPr>
            </w:pPr>
            <w:r>
              <w:rPr>
                <w:b/>
                <w:color w:val="000000"/>
                <w:kern w:val="0"/>
                <w:sz w:val="24"/>
              </w:rPr>
              <w:t xml:space="preserve">34.9 </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b/>
                <w:color w:val="000000"/>
                <w:sz w:val="24"/>
              </w:rPr>
            </w:pPr>
            <w:r>
              <w:rPr>
                <w:b/>
                <w:color w:val="000000"/>
                <w:kern w:val="0"/>
                <w:sz w:val="24"/>
              </w:rPr>
              <w:t>220000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b/>
                <w:color w:val="000000"/>
                <w:sz w:val="24"/>
              </w:rPr>
            </w:pPr>
            <w:r>
              <w:rPr>
                <w:b/>
                <w:color w:val="000000"/>
                <w:kern w:val="0"/>
                <w:sz w:val="24"/>
              </w:rPr>
              <w:t xml:space="preserve">-3.3 </w:t>
            </w: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一、一般公共服务支出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34379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34389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100.0 </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-5.8 </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36559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6.3 </w:t>
            </w: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b/>
                <w:color w:val="000000"/>
                <w:sz w:val="24"/>
              </w:rPr>
            </w:pPr>
            <w:r>
              <w:rPr>
                <w:rFonts w:hint="eastAsia" w:ascii="宋体" w:hAnsi="宋体" w:cs="宋体"/>
                <w:color w:val="000000"/>
                <w:kern w:val="0"/>
                <w:sz w:val="24"/>
              </w:rPr>
              <w:t>人大事务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其他人大事务支出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0"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b/>
                <w:color w:val="000000"/>
                <w:sz w:val="24"/>
              </w:rPr>
            </w:pPr>
            <w:r>
              <w:rPr>
                <w:rFonts w:hint="eastAsia" w:ascii="宋体" w:hAnsi="宋体" w:cs="宋体"/>
                <w:color w:val="000000"/>
                <w:kern w:val="0"/>
                <w:sz w:val="24"/>
              </w:rPr>
              <w:t>政府办公厅(室)及相关机构事务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20780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20812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21052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行政运行</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11172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11207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9600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机关服务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5760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5761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6599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事业运行</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1580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1576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1614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0"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其他政府办公厅(室)及相关机构事务支出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2268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2268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3239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发展与改革事务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1245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1238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1263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行政运行</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918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918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战略规划与实施 </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287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事业运行</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rPr>
          <w:trHeight w:val="570"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其他发展与改革事务支出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280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273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统计信息事务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专项统计业务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其他统计信息事务支出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财政事务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1023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1021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895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行政运行</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797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797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630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财政国库业务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信息化建设</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财政委托业务支出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其他财政事务支出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税收事务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2471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2471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1793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协税护税</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380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380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0"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代扣代收代征税款手续费</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其他税收事务支出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2091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2091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1580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审计事务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行政运行</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审计业务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人力资源事务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1270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1271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1997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行政运行</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467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引进人才费用</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485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485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590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事业运行</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245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245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225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其他人力资源事务支出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540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541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715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纪检监察事务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365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362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296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行政运行</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345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345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260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其他纪检监察事务支出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商贸事务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1277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1275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1881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行政运行</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249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招商引资</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920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918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1548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事业运行</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民族事务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其他民族事务支出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档案事务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档案馆</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其他档案事务支出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群众团体事务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288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282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239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行政运行</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其他群众团体事务支出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0"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党委办公厅(室)及相关机构事务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行政运行</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rPr>
          <w:trHeight w:val="570"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其他党委办公厅(室)及相关机构事务支出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组织事务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2101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2103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1925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行政运行</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651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651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440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其他组织事务支出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1450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1452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1485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宣传事务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814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814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1306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其他宣传事务支出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814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814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1306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统战事务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其他统战事务支出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市场监督管理事务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1878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1875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3056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行政运行</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市场监督管理专项</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267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事业运行</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241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241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其他市场监督管理事务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1570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1567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2361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0"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其他一般公共服务支出(款)</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0"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其他一般公共服务支出(项)</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二、国防支出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100.7 </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91.1 </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-52.0 </w:t>
            </w: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三、公共安全支出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18427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18373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99.7 </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1.0 </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18742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2.0 </w:t>
            </w: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公安</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17830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17843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18142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检察</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法院</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司法</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229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286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四、教育支出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30506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30499</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100.0 </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15.2 </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33055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8.4 </w:t>
            </w: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教育管理事务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1668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1665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1546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行政运行</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858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858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720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其他教育管理事务支出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810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807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826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普通教育</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23198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23198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25749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学前教育</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2394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2394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3057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小学教育</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14763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14763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15670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初中教育</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5495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5495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5814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其他普通教育支出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546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546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1208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教育费附加安排的支出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4510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4506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5760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0"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其他教育费附加安排的支出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4510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4506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5760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其他教育支出(款)</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1130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1130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其他教育支出(项)</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1130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1130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五、科学技术支出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24285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23910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98.5 </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127.8 </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27568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15.3 </w:t>
            </w: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科学技术管理事务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268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268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行政运行</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268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268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技术研究与开发</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4003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3631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3320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应用技术研究与开发</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390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390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产业技术研究与开发</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713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429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0"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其他技术研究与开发支出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2900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2812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3320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科学技术普及</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科普活动</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科技交流与合作</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3715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3715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1211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0"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其他科技交流与合作支出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3715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3715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1211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其他科学技术支出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16294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16294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22827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科技奖励</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1708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1708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524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其他科学技术支出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14586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14586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22303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六、文化旅游体育与传媒支出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1334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927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69.5 </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-11.7 </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40.2 </w:t>
            </w:r>
          </w:p>
        </w:tc>
      </w:tr>
      <w:tr>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文化和旅游</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799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582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1053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行政运行</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333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333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358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图书馆</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其他文化和旅游支出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436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695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体育</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369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群众体育</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其他体育支出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246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广播电视</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行政运行</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0"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其他文化体育与传媒支出(款)</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0"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其他文化体育与传媒支出(项)</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七、社会保障和就业支出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9619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9558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99.4 </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11.5 </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10690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11.8 </w:t>
            </w:r>
          </w:p>
        </w:tc>
      </w:tr>
      <w:tr>
        <w:tblPrEx>
          <w:tblCellMar>
            <w:top w:w="0" w:type="dxa"/>
            <w:left w:w="0" w:type="dxa"/>
            <w:bottom w:w="0" w:type="dxa"/>
            <w:right w:w="0" w:type="dxa"/>
          </w:tblCellMar>
        </w:tblPrEx>
        <w:trPr>
          <w:trHeight w:val="570"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人力资源和社会保障管理事务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1201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1189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1074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行政运行</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828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828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237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综合业务管理</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信息化建设</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劳动关系和维权</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222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0"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其他人力资源和社会保障管理事务支出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340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327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580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民政管理事务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910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911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1388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行政运行</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550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550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520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基层政权和社区建设</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其他民政管理事务支出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262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262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786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行政事业单位离退休</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4741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4741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4859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行政单位离退休</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0"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机关事业单位基本养老保险缴费支出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3248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3248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3223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0"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机关事业单位职业年金缴费支出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1448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1448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1608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就业补助</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高技能人才培养补助</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其他就业补助支出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抚恤</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935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932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864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伤残抚恤</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0"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在乡复员、退伍军人生活补助</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422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420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461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义务兵优待</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440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439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367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其他优抚支出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退役安置</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392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退役士兵安置</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392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残疾人事业</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702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692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808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残疾人生活和护理补贴</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320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310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340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其他残疾人事业支出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382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382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468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最低生活保障</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660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658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727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0"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农村最低生活保障金支出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660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658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727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临时救助</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临时救助支出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其他生活救助</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其他农村生活救助</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退役军人管理事务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拥军优属</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八、卫生健康支出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12179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11589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95.2 </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-17.7 </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18605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60.5 </w:t>
            </w: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卫生健康管理事务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0"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其他卫生健康管理事务支出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基层医疗卫生机构</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3076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1974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5038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乡镇卫生院</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3076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1974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5038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公共卫生</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2524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2985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4969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疾病预防控制机构</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276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268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妇幼保健机构</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应急救治机构</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基本公共卫生服务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2030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2427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重大公共卫生专项</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515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其他公共卫生支出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457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计划生育事务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1080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1053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计划生育机构</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318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339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345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计划生育服务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762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684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755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其他计划生育事务支出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行政事业单位医疗</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999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1086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1304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行政单位医疗</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927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1220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事业单位医疗</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0"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财政对基本医疗保险基金的补助</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4500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4470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6054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0"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财政对城乡居民基本医疗保险基金的补助</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4500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4470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6054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其他卫生健康支出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其他卫生健康支出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九、节能环保支出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6918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6846</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 xml:space="preserve">99.0 </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 xml:space="preserve">-35.5 </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9630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40.7 </w:t>
            </w: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环境保护管理事务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1101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1101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行政运行</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1101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1101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污染防治</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5191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5138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8231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大气</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723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723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水体</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4207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4160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8080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其他污染防治支出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261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自然生态保护</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生态保护</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能源节约利用(款)</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能源节能利用(项)</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污染减排</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379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334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439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生态环境监测与信息</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379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334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439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循环经济(款)</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循环经济(项)</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其他节能环保支出(款)</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其他节能环保支出(项)</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十、城乡社区支出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52873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52879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100.0 </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142.9 </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26125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-50.6 </w:t>
            </w: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城乡社区管理事务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3832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3832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4959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行政运行</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3304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3304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2950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城管执法</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311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0"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其他城乡社区管理事务支出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225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225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1698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城乡社区规划与管理(款)</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849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849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1747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0"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城乡社区规划与管理(项)</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849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849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1747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城乡社区公共设施</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9078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9078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0"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其他城乡社区公共设施支出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9078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9078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城乡社区环境卫生(款)</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1653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1659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8323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城乡社区环境卫生(项)</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1653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1659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8323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其他城乡社区支出(款)</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37461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37461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1096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其他城乡社区支出(项)</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37461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37461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1096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十一、农林水支出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9780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9659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98.8 </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100.3 </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6847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-29.1 </w:t>
            </w: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农业农村</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1595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1525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2080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行政运行</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1141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1122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1115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病虫害控制</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农业生产支持补贴</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457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其他农业农村支出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397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397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508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林业和草原</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行政运行</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森林资源管理</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森林生态效益补偿</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防灾减灾</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其他林业和草原支出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b/>
                <w:color w:val="000000"/>
                <w:sz w:val="24"/>
              </w:rPr>
            </w:pPr>
            <w:r>
              <w:rPr>
                <w:rFonts w:hint="eastAsia" w:ascii="宋体" w:hAnsi="宋体" w:cs="宋体"/>
                <w:color w:val="000000"/>
                <w:kern w:val="0"/>
                <w:sz w:val="24"/>
              </w:rPr>
              <w:t>水利</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7860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7825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4514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行政运行</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386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386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314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水利工程建设</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水土保持</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防汛</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0"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大中型水库移民后期扶持专项支出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其他水利支出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5851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5851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2929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扶贫</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其他扶贫支出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农业综合开发</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产业化发展</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十二、资源勘探信息等支出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9977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99.7 </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53.8 </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17500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75.4 </w:t>
            </w: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工业和信息产业监管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2630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2629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工业和信息产业支持</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2630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2629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0"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支持中小企业发展和管理支出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7377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7348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15000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0"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其他支持中小企业发展和管理支出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7377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7348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15000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十三、商业服务业等支出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380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17.1 </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-90.8 </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361.5 </w:t>
            </w: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涉外发展服务支出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380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其他涉外发展服务支出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380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十四、金融支出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10213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102.1 </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1980.0 </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-98.0 </w:t>
            </w: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金融部门行政支出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事业运行</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金融发展支出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10206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其他金融发展支出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10206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十五、援助其他地区支出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100.0 </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20.0 </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976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-2.7 </w:t>
            </w: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b/>
                <w:color w:val="000000"/>
                <w:sz w:val="24"/>
              </w:rPr>
            </w:pPr>
            <w:r>
              <w:rPr>
                <w:rFonts w:hint="eastAsia" w:ascii="宋体" w:hAnsi="宋体" w:cs="宋体"/>
                <w:color w:val="000000"/>
                <w:kern w:val="0"/>
                <w:sz w:val="24"/>
              </w:rPr>
              <w:t>其他支出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976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0"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十六、自然资源海洋气象等支出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669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665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99.4 </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-85.4 </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953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43.3 </w:t>
            </w: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自然资源事务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366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362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953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行政运行</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290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0"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土地资源利用与保护（自然资源利用与保护）</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rPr>
          <w:trHeight w:val="570"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自然资源调查(自然资源调查与确权登记）</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土地资源储备支出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0"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地质矿产资源与环境调查</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地质矿产资源利用与保护（地质勘查与矿产资源管理）</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事业运行</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0"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基础测绘与地理信息监管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其他自然资源事务支出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470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海洋管理事务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293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293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海洋环境保护与监测</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283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283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海洋执法监察</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其他海洋管理事务支出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测绘事务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基础测绘</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十七、住房保障支出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2306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2174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94.3 </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1.1 </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2714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24.8 </w:t>
            </w: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保障性安居工程支出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保障性住房租金补贴</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住房改革支出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2302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2171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2695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住房公积金</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2171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2171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2535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购房补贴</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0"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十八、灾害防治及应急管理支出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4183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3882</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92.8 </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4414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13.7 </w:t>
            </w: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应急管理事务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1624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1624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1567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行政运行</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956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956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881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安全监管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628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628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686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安全生产基础</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消防事务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2559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2258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2847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消防应急救援</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2559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2258</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2847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十九、预备费</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二十、债务付息支出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652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652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100.0 </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0.0 </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652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0.0 </w:t>
            </w:r>
          </w:p>
        </w:tc>
      </w:tr>
      <w:tr>
        <w:trPr>
          <w:trHeight w:val="570"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地方政府一般债务付息支出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652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652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652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0"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地方政府一般债券付息支出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652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652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652</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二十一、债务发行费用支出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570" w:hRule="atLeast"/>
        </w:trPr>
        <w:tc>
          <w:tcPr>
            <w:tcW w:w="16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地方政府一般债务发行费用支出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r>
    </w:tbl>
    <w:p>
      <w:pPr>
        <w:widowControl/>
        <w:jc w:val="left"/>
        <w:rPr>
          <w:rFonts w:ascii="宋体" w:hAnsi="宋体"/>
          <w:snapToGrid w:val="0"/>
          <w:kern w:val="0"/>
          <w:sz w:val="24"/>
        </w:rPr>
      </w:pPr>
      <w:r>
        <w:rPr>
          <w:rFonts w:ascii="宋体" w:hAnsi="宋体"/>
          <w:snapToGrid w:val="0"/>
          <w:kern w:val="0"/>
          <w:sz w:val="24"/>
        </w:rPr>
        <w:br w:type="page"/>
      </w:r>
    </w:p>
    <w:p>
      <w:pPr>
        <w:overflowPunct w:val="0"/>
        <w:adjustRightInd w:val="0"/>
        <w:snapToGrid w:val="0"/>
        <w:spacing w:line="360" w:lineRule="auto"/>
        <w:jc w:val="left"/>
        <w:rPr>
          <w:bCs/>
          <w:snapToGrid w:val="0"/>
          <w:kern w:val="0"/>
          <w:sz w:val="28"/>
          <w:szCs w:val="28"/>
        </w:rPr>
      </w:pPr>
      <w:r>
        <w:rPr>
          <w:rFonts w:hint="eastAsia"/>
          <w:snapToGrid w:val="0"/>
          <w:kern w:val="0"/>
          <w:sz w:val="24"/>
        </w:rPr>
        <w:t>附表一</w:t>
      </w:r>
      <w:r>
        <w:rPr>
          <w:snapToGrid w:val="0"/>
          <w:kern w:val="0"/>
          <w:sz w:val="24"/>
        </w:rPr>
        <w:t>-</w:t>
      </w:r>
      <w:r>
        <w:rPr>
          <w:rFonts w:hint="eastAsia"/>
          <w:snapToGrid w:val="0"/>
          <w:kern w:val="0"/>
          <w:sz w:val="24"/>
        </w:rPr>
        <w:t>4：</w:t>
      </w:r>
    </w:p>
    <w:p>
      <w:pPr>
        <w:overflowPunct w:val="0"/>
        <w:adjustRightInd w:val="0"/>
        <w:snapToGrid w:val="0"/>
        <w:jc w:val="center"/>
        <w:rPr>
          <w:b/>
          <w:bCs/>
          <w:snapToGrid w:val="0"/>
          <w:kern w:val="0"/>
          <w:sz w:val="36"/>
          <w:szCs w:val="36"/>
        </w:rPr>
      </w:pPr>
      <w:r>
        <w:rPr>
          <w:rFonts w:hint="eastAsia"/>
          <w:b/>
          <w:bCs/>
          <w:snapToGrid w:val="0"/>
          <w:kern w:val="0"/>
          <w:sz w:val="36"/>
          <w:szCs w:val="36"/>
        </w:rPr>
        <w:t>浙南产业集聚区2019年及2020年一般公共预算</w:t>
      </w:r>
    </w:p>
    <w:p>
      <w:pPr>
        <w:overflowPunct w:val="0"/>
        <w:adjustRightInd w:val="0"/>
        <w:snapToGrid w:val="0"/>
        <w:jc w:val="center"/>
        <w:rPr>
          <w:b/>
          <w:bCs/>
          <w:snapToGrid w:val="0"/>
          <w:kern w:val="0"/>
          <w:sz w:val="36"/>
          <w:szCs w:val="36"/>
        </w:rPr>
      </w:pPr>
      <w:r>
        <w:rPr>
          <w:rFonts w:hint="eastAsia"/>
          <w:b/>
          <w:bCs/>
          <w:snapToGrid w:val="0"/>
          <w:kern w:val="0"/>
          <w:sz w:val="36"/>
          <w:szCs w:val="36"/>
        </w:rPr>
        <w:t>收支（平衡）预计表</w:t>
      </w:r>
    </w:p>
    <w:p>
      <w:pPr>
        <w:overflowPunct w:val="0"/>
        <w:adjustRightInd w:val="0"/>
        <w:snapToGrid w:val="0"/>
        <w:ind w:right="565" w:rightChars="269"/>
        <w:jc w:val="right"/>
        <w:textAlignment w:val="center"/>
        <w:rPr>
          <w:bCs/>
          <w:snapToGrid w:val="0"/>
          <w:kern w:val="0"/>
          <w:sz w:val="24"/>
        </w:rPr>
      </w:pPr>
      <w:r>
        <w:rPr>
          <w:rFonts w:hint="eastAsia"/>
          <w:bCs/>
          <w:snapToGrid w:val="0"/>
          <w:kern w:val="0"/>
          <w:sz w:val="24"/>
        </w:rPr>
        <w:t>单位：万元</w:t>
      </w:r>
    </w:p>
    <w:tbl>
      <w:tblPr>
        <w:tblStyle w:val="23"/>
        <w:tblW w:w="4999" w:type="pct"/>
        <w:tblInd w:w="0" w:type="dxa"/>
        <w:tblLayout w:type="autofit"/>
        <w:tblCellMar>
          <w:top w:w="0" w:type="dxa"/>
          <w:left w:w="0" w:type="dxa"/>
          <w:bottom w:w="0" w:type="dxa"/>
          <w:right w:w="0" w:type="dxa"/>
        </w:tblCellMar>
      </w:tblPr>
      <w:tblGrid>
        <w:gridCol w:w="4052"/>
        <w:gridCol w:w="2723"/>
        <w:gridCol w:w="2323"/>
      </w:tblGrid>
      <w:tr>
        <w:tblPrEx>
          <w:tblCellMar>
            <w:top w:w="0" w:type="dxa"/>
            <w:left w:w="0" w:type="dxa"/>
            <w:bottom w:w="0" w:type="dxa"/>
            <w:right w:w="0" w:type="dxa"/>
          </w:tblCellMar>
        </w:tblPrEx>
        <w:trPr>
          <w:trHeight w:val="544" w:hRule="atLeast"/>
        </w:trPr>
        <w:tc>
          <w:tcPr>
            <w:tcW w:w="22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项目</w:t>
            </w:r>
          </w:p>
        </w:tc>
        <w:tc>
          <w:tcPr>
            <w:tcW w:w="14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b/>
                <w:color w:val="000000"/>
                <w:sz w:val="24"/>
              </w:rPr>
            </w:pPr>
            <w:r>
              <w:rPr>
                <w:b/>
                <w:color w:val="000000"/>
                <w:kern w:val="0"/>
                <w:sz w:val="24"/>
              </w:rPr>
              <w:t>2019</w:t>
            </w:r>
            <w:r>
              <w:rPr>
                <w:rFonts w:hint="eastAsia" w:ascii="宋体" w:hAnsi="宋体" w:cs="宋体"/>
                <w:b/>
                <w:color w:val="000000"/>
                <w:kern w:val="0"/>
                <w:sz w:val="24"/>
              </w:rPr>
              <w:t>年执行数</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b/>
                <w:color w:val="000000"/>
                <w:sz w:val="24"/>
              </w:rPr>
            </w:pPr>
            <w:r>
              <w:rPr>
                <w:b/>
                <w:color w:val="000000"/>
                <w:kern w:val="0"/>
                <w:sz w:val="24"/>
              </w:rPr>
              <w:t>2020</w:t>
            </w:r>
            <w:r>
              <w:rPr>
                <w:rFonts w:hint="eastAsia" w:ascii="宋体" w:hAnsi="宋体" w:cs="宋体"/>
                <w:b/>
                <w:color w:val="000000"/>
                <w:kern w:val="0"/>
                <w:sz w:val="24"/>
              </w:rPr>
              <w:t>年预算数</w:t>
            </w:r>
          </w:p>
        </w:tc>
      </w:tr>
      <w:tr>
        <w:tblPrEx>
          <w:tblCellMar>
            <w:top w:w="0" w:type="dxa"/>
            <w:left w:w="0" w:type="dxa"/>
            <w:bottom w:w="0" w:type="dxa"/>
            <w:right w:w="0" w:type="dxa"/>
          </w:tblCellMar>
        </w:tblPrEx>
        <w:trPr>
          <w:trHeight w:val="544" w:hRule="atLeast"/>
        </w:trPr>
        <w:tc>
          <w:tcPr>
            <w:tcW w:w="22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4"/>
              </w:rPr>
            </w:pPr>
            <w:r>
              <w:rPr>
                <w:rFonts w:hint="eastAsia" w:ascii="宋体" w:hAnsi="宋体" w:cs="宋体"/>
                <w:b/>
                <w:color w:val="000000"/>
                <w:kern w:val="0"/>
                <w:sz w:val="24"/>
              </w:rPr>
              <w:t>一、收入合计</w:t>
            </w:r>
          </w:p>
        </w:tc>
        <w:tc>
          <w:tcPr>
            <w:tcW w:w="14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b/>
                <w:color w:val="000000"/>
                <w:sz w:val="24"/>
              </w:rPr>
            </w:pPr>
            <w:r>
              <w:rPr>
                <w:b/>
                <w:color w:val="000000"/>
                <w:kern w:val="0"/>
                <w:sz w:val="24"/>
              </w:rPr>
              <w:t>256260</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b/>
                <w:color w:val="000000"/>
                <w:sz w:val="24"/>
              </w:rPr>
            </w:pPr>
            <w:r>
              <w:rPr>
                <w:b/>
                <w:color w:val="000000"/>
                <w:kern w:val="0"/>
                <w:sz w:val="24"/>
              </w:rPr>
              <w:t>268699</w:t>
            </w:r>
          </w:p>
        </w:tc>
      </w:tr>
      <w:tr>
        <w:tblPrEx>
          <w:tblCellMar>
            <w:top w:w="0" w:type="dxa"/>
            <w:left w:w="0" w:type="dxa"/>
            <w:bottom w:w="0" w:type="dxa"/>
            <w:right w:w="0" w:type="dxa"/>
          </w:tblCellMar>
        </w:tblPrEx>
        <w:trPr>
          <w:trHeight w:val="544" w:hRule="atLeast"/>
        </w:trPr>
        <w:tc>
          <w:tcPr>
            <w:tcW w:w="22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（一）一般公共预算收入</w:t>
            </w:r>
          </w:p>
        </w:tc>
        <w:tc>
          <w:tcPr>
            <w:tcW w:w="14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sz w:val="24"/>
              </w:rPr>
            </w:pPr>
            <w:r>
              <w:rPr>
                <w:color w:val="000000"/>
                <w:kern w:val="0"/>
                <w:sz w:val="24"/>
              </w:rPr>
              <w:t>204035</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sz w:val="24"/>
              </w:rPr>
            </w:pPr>
            <w:r>
              <w:rPr>
                <w:color w:val="000000"/>
                <w:kern w:val="0"/>
                <w:sz w:val="24"/>
              </w:rPr>
              <w:t>234600</w:t>
            </w:r>
          </w:p>
        </w:tc>
      </w:tr>
      <w:tr>
        <w:tblPrEx>
          <w:tblCellMar>
            <w:top w:w="0" w:type="dxa"/>
            <w:left w:w="0" w:type="dxa"/>
            <w:bottom w:w="0" w:type="dxa"/>
            <w:right w:w="0" w:type="dxa"/>
          </w:tblCellMar>
        </w:tblPrEx>
        <w:trPr>
          <w:trHeight w:val="544" w:hRule="atLeast"/>
        </w:trPr>
        <w:tc>
          <w:tcPr>
            <w:tcW w:w="22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（二）转移性收入等</w:t>
            </w:r>
          </w:p>
        </w:tc>
        <w:tc>
          <w:tcPr>
            <w:tcW w:w="14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sz w:val="24"/>
              </w:rPr>
            </w:pPr>
            <w:r>
              <w:rPr>
                <w:color w:val="000000"/>
                <w:kern w:val="0"/>
                <w:sz w:val="24"/>
              </w:rPr>
              <w:t>52225</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sz w:val="24"/>
              </w:rPr>
            </w:pPr>
            <w:r>
              <w:rPr>
                <w:color w:val="000000"/>
                <w:kern w:val="0"/>
                <w:sz w:val="24"/>
              </w:rPr>
              <w:t>34099</w:t>
            </w:r>
          </w:p>
        </w:tc>
      </w:tr>
      <w:tr>
        <w:tblPrEx>
          <w:tblCellMar>
            <w:top w:w="0" w:type="dxa"/>
            <w:left w:w="0" w:type="dxa"/>
            <w:bottom w:w="0" w:type="dxa"/>
            <w:right w:w="0" w:type="dxa"/>
          </w:tblCellMar>
        </w:tblPrEx>
        <w:trPr>
          <w:trHeight w:val="544" w:hRule="atLeast"/>
        </w:trPr>
        <w:tc>
          <w:tcPr>
            <w:tcW w:w="22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w:t>
            </w:r>
            <w:r>
              <w:rPr>
                <w:color w:val="000000"/>
                <w:kern w:val="0"/>
                <w:sz w:val="24"/>
              </w:rPr>
              <w:t>1.</w:t>
            </w:r>
            <w:r>
              <w:rPr>
                <w:rFonts w:hint="eastAsia" w:ascii="宋体" w:hAnsi="宋体" w:cs="宋体"/>
                <w:color w:val="000000"/>
                <w:kern w:val="0"/>
                <w:sz w:val="24"/>
              </w:rPr>
              <w:t>中央四税返还收入</w:t>
            </w:r>
          </w:p>
        </w:tc>
        <w:tc>
          <w:tcPr>
            <w:tcW w:w="14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sz w:val="24"/>
              </w:rPr>
            </w:pPr>
            <w:r>
              <w:rPr>
                <w:color w:val="000000"/>
                <w:kern w:val="0"/>
                <w:sz w:val="24"/>
              </w:rPr>
              <w:t>-6410</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sz w:val="24"/>
              </w:rPr>
            </w:pPr>
            <w:r>
              <w:rPr>
                <w:color w:val="000000"/>
                <w:kern w:val="0"/>
                <w:sz w:val="24"/>
              </w:rPr>
              <w:t>-6410</w:t>
            </w:r>
          </w:p>
        </w:tc>
      </w:tr>
      <w:tr>
        <w:tblPrEx>
          <w:tblCellMar>
            <w:top w:w="0" w:type="dxa"/>
            <w:left w:w="0" w:type="dxa"/>
            <w:bottom w:w="0" w:type="dxa"/>
            <w:right w:w="0" w:type="dxa"/>
          </w:tblCellMar>
        </w:tblPrEx>
        <w:trPr>
          <w:trHeight w:val="544" w:hRule="atLeast"/>
        </w:trPr>
        <w:tc>
          <w:tcPr>
            <w:tcW w:w="22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w:t>
            </w:r>
            <w:r>
              <w:rPr>
                <w:color w:val="000000"/>
                <w:kern w:val="0"/>
                <w:sz w:val="24"/>
              </w:rPr>
              <w:t>2.</w:t>
            </w:r>
            <w:r>
              <w:rPr>
                <w:rFonts w:hint="eastAsia" w:ascii="宋体" w:hAnsi="宋体" w:cs="宋体"/>
                <w:color w:val="000000"/>
                <w:kern w:val="0"/>
                <w:sz w:val="24"/>
              </w:rPr>
              <w:t>省市转移支付收入</w:t>
            </w:r>
          </w:p>
        </w:tc>
        <w:tc>
          <w:tcPr>
            <w:tcW w:w="14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sz w:val="24"/>
              </w:rPr>
            </w:pPr>
            <w:r>
              <w:rPr>
                <w:color w:val="000000"/>
                <w:kern w:val="0"/>
                <w:sz w:val="24"/>
              </w:rPr>
              <w:t>17346</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sz w:val="24"/>
              </w:rPr>
            </w:pPr>
            <w:r>
              <w:rPr>
                <w:color w:val="000000"/>
                <w:kern w:val="0"/>
                <w:sz w:val="24"/>
              </w:rPr>
              <w:t>16000</w:t>
            </w:r>
          </w:p>
        </w:tc>
      </w:tr>
      <w:tr>
        <w:tblPrEx>
          <w:tblCellMar>
            <w:top w:w="0" w:type="dxa"/>
            <w:left w:w="0" w:type="dxa"/>
            <w:bottom w:w="0" w:type="dxa"/>
            <w:right w:w="0" w:type="dxa"/>
          </w:tblCellMar>
        </w:tblPrEx>
        <w:trPr>
          <w:trHeight w:val="544" w:hRule="atLeast"/>
        </w:trPr>
        <w:tc>
          <w:tcPr>
            <w:tcW w:w="22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3.一般债务转贷收入</w:t>
            </w:r>
          </w:p>
        </w:tc>
        <w:tc>
          <w:tcPr>
            <w:tcW w:w="14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sz w:val="24"/>
              </w:rPr>
            </w:pP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sz w:val="24"/>
              </w:rPr>
            </w:pPr>
            <w:r>
              <w:rPr>
                <w:color w:val="000000"/>
                <w:kern w:val="0"/>
                <w:sz w:val="24"/>
              </w:rPr>
              <w:t>20000</w:t>
            </w:r>
          </w:p>
        </w:tc>
      </w:tr>
      <w:tr>
        <w:tblPrEx>
          <w:tblCellMar>
            <w:top w:w="0" w:type="dxa"/>
            <w:left w:w="0" w:type="dxa"/>
            <w:bottom w:w="0" w:type="dxa"/>
            <w:right w:w="0" w:type="dxa"/>
          </w:tblCellMar>
        </w:tblPrEx>
        <w:trPr>
          <w:trHeight w:val="544" w:hRule="atLeast"/>
        </w:trPr>
        <w:tc>
          <w:tcPr>
            <w:tcW w:w="22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4.动用预算稳定调节基金</w:t>
            </w:r>
          </w:p>
        </w:tc>
        <w:tc>
          <w:tcPr>
            <w:tcW w:w="14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sz w:val="24"/>
              </w:rPr>
            </w:pPr>
            <w:r>
              <w:rPr>
                <w:color w:val="000000"/>
                <w:kern w:val="0"/>
                <w:sz w:val="24"/>
              </w:rPr>
              <w:t>36260</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sz w:val="24"/>
              </w:rPr>
            </w:pPr>
          </w:p>
        </w:tc>
      </w:tr>
      <w:tr>
        <w:tblPrEx>
          <w:tblCellMar>
            <w:top w:w="0" w:type="dxa"/>
            <w:left w:w="0" w:type="dxa"/>
            <w:bottom w:w="0" w:type="dxa"/>
            <w:right w:w="0" w:type="dxa"/>
          </w:tblCellMar>
        </w:tblPrEx>
        <w:trPr>
          <w:trHeight w:val="544" w:hRule="atLeast"/>
        </w:trPr>
        <w:tc>
          <w:tcPr>
            <w:tcW w:w="22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5.调入资金和上年结转项目</w:t>
            </w:r>
          </w:p>
        </w:tc>
        <w:tc>
          <w:tcPr>
            <w:tcW w:w="14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sz w:val="24"/>
              </w:rPr>
            </w:pPr>
            <w:r>
              <w:rPr>
                <w:color w:val="000000"/>
                <w:kern w:val="0"/>
                <w:sz w:val="24"/>
              </w:rPr>
              <w:t>5029</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sz w:val="24"/>
              </w:rPr>
            </w:pPr>
            <w:r>
              <w:rPr>
                <w:color w:val="000000"/>
                <w:kern w:val="0"/>
                <w:sz w:val="24"/>
              </w:rPr>
              <w:t>4509</w:t>
            </w:r>
          </w:p>
        </w:tc>
      </w:tr>
      <w:tr>
        <w:tblPrEx>
          <w:tblCellMar>
            <w:top w:w="0" w:type="dxa"/>
            <w:left w:w="0" w:type="dxa"/>
            <w:bottom w:w="0" w:type="dxa"/>
            <w:right w:w="0" w:type="dxa"/>
          </w:tblCellMar>
        </w:tblPrEx>
        <w:trPr>
          <w:trHeight w:val="544" w:hRule="atLeast"/>
        </w:trPr>
        <w:tc>
          <w:tcPr>
            <w:tcW w:w="22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4"/>
              </w:rPr>
            </w:pPr>
          </w:p>
        </w:tc>
        <w:tc>
          <w:tcPr>
            <w:tcW w:w="14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sz w:val="24"/>
              </w:rPr>
            </w:pP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sz w:val="24"/>
              </w:rPr>
            </w:pPr>
          </w:p>
        </w:tc>
      </w:tr>
      <w:tr>
        <w:tblPrEx>
          <w:tblCellMar>
            <w:top w:w="0" w:type="dxa"/>
            <w:left w:w="0" w:type="dxa"/>
            <w:bottom w:w="0" w:type="dxa"/>
            <w:right w:w="0" w:type="dxa"/>
          </w:tblCellMar>
        </w:tblPrEx>
        <w:trPr>
          <w:trHeight w:val="544" w:hRule="atLeast"/>
        </w:trPr>
        <w:tc>
          <w:tcPr>
            <w:tcW w:w="22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4"/>
              </w:rPr>
            </w:pPr>
            <w:r>
              <w:rPr>
                <w:rFonts w:hint="eastAsia" w:ascii="宋体" w:hAnsi="宋体" w:cs="宋体"/>
                <w:b/>
                <w:color w:val="000000"/>
                <w:kern w:val="0"/>
                <w:sz w:val="24"/>
              </w:rPr>
              <w:t>二、支出合计</w:t>
            </w:r>
          </w:p>
        </w:tc>
        <w:tc>
          <w:tcPr>
            <w:tcW w:w="14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b/>
                <w:color w:val="000000"/>
                <w:sz w:val="24"/>
              </w:rPr>
            </w:pPr>
            <w:r>
              <w:rPr>
                <w:b/>
                <w:color w:val="000000"/>
                <w:kern w:val="0"/>
                <w:sz w:val="24"/>
              </w:rPr>
              <w:t>256260</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b/>
                <w:color w:val="000000"/>
                <w:sz w:val="24"/>
              </w:rPr>
            </w:pPr>
            <w:r>
              <w:rPr>
                <w:b/>
                <w:color w:val="000000"/>
                <w:kern w:val="0"/>
                <w:sz w:val="24"/>
              </w:rPr>
              <w:t>268699</w:t>
            </w:r>
          </w:p>
        </w:tc>
      </w:tr>
      <w:tr>
        <w:tblPrEx>
          <w:tblCellMar>
            <w:top w:w="0" w:type="dxa"/>
            <w:left w:w="0" w:type="dxa"/>
            <w:bottom w:w="0" w:type="dxa"/>
            <w:right w:w="0" w:type="dxa"/>
          </w:tblCellMar>
        </w:tblPrEx>
        <w:trPr>
          <w:trHeight w:val="544" w:hRule="atLeast"/>
        </w:trPr>
        <w:tc>
          <w:tcPr>
            <w:tcW w:w="22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（一）一般公共预算支出</w:t>
            </w:r>
          </w:p>
        </w:tc>
        <w:tc>
          <w:tcPr>
            <w:tcW w:w="14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sz w:val="24"/>
              </w:rPr>
            </w:pPr>
            <w:r>
              <w:rPr>
                <w:color w:val="000000"/>
                <w:kern w:val="0"/>
                <w:sz w:val="24"/>
              </w:rPr>
              <w:t>227562</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sz w:val="24"/>
              </w:rPr>
            </w:pPr>
            <w:r>
              <w:rPr>
                <w:color w:val="000000"/>
                <w:kern w:val="0"/>
                <w:sz w:val="24"/>
              </w:rPr>
              <w:t>220000</w:t>
            </w:r>
          </w:p>
        </w:tc>
      </w:tr>
      <w:tr>
        <w:tblPrEx>
          <w:tblCellMar>
            <w:top w:w="0" w:type="dxa"/>
            <w:left w:w="0" w:type="dxa"/>
            <w:bottom w:w="0" w:type="dxa"/>
            <w:right w:w="0" w:type="dxa"/>
          </w:tblCellMar>
        </w:tblPrEx>
        <w:trPr>
          <w:trHeight w:val="544" w:hRule="atLeast"/>
        </w:trPr>
        <w:tc>
          <w:tcPr>
            <w:tcW w:w="22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（二）转移性支出等</w:t>
            </w:r>
          </w:p>
        </w:tc>
        <w:tc>
          <w:tcPr>
            <w:tcW w:w="14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sz w:val="24"/>
              </w:rPr>
            </w:pPr>
            <w:r>
              <w:rPr>
                <w:color w:val="000000"/>
                <w:kern w:val="0"/>
                <w:sz w:val="24"/>
              </w:rPr>
              <w:t>28698</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sz w:val="24"/>
              </w:rPr>
            </w:pPr>
            <w:r>
              <w:rPr>
                <w:color w:val="000000"/>
                <w:kern w:val="0"/>
                <w:sz w:val="24"/>
              </w:rPr>
              <w:t>48699</w:t>
            </w:r>
          </w:p>
        </w:tc>
      </w:tr>
      <w:tr>
        <w:tblPrEx>
          <w:tblCellMar>
            <w:top w:w="0" w:type="dxa"/>
            <w:left w:w="0" w:type="dxa"/>
            <w:bottom w:w="0" w:type="dxa"/>
            <w:right w:w="0" w:type="dxa"/>
          </w:tblCellMar>
        </w:tblPrEx>
        <w:trPr>
          <w:trHeight w:val="544" w:hRule="atLeast"/>
        </w:trPr>
        <w:tc>
          <w:tcPr>
            <w:tcW w:w="22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w:t>
            </w:r>
            <w:r>
              <w:rPr>
                <w:color w:val="000000"/>
                <w:kern w:val="0"/>
                <w:sz w:val="24"/>
              </w:rPr>
              <w:t>1.</w:t>
            </w:r>
            <w:r>
              <w:rPr>
                <w:rFonts w:hint="eastAsia" w:ascii="宋体" w:hAnsi="宋体" w:cs="宋体"/>
                <w:color w:val="000000"/>
                <w:kern w:val="0"/>
                <w:sz w:val="24"/>
              </w:rPr>
              <w:t>上解上级支出</w:t>
            </w:r>
          </w:p>
        </w:tc>
        <w:tc>
          <w:tcPr>
            <w:tcW w:w="14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sz w:val="24"/>
              </w:rPr>
            </w:pPr>
            <w:r>
              <w:rPr>
                <w:color w:val="000000"/>
                <w:kern w:val="0"/>
                <w:sz w:val="24"/>
              </w:rPr>
              <w:t>24154</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sz w:val="24"/>
              </w:rPr>
            </w:pPr>
            <w:r>
              <w:rPr>
                <w:color w:val="000000"/>
                <w:kern w:val="0"/>
                <w:sz w:val="24"/>
              </w:rPr>
              <w:t>26000</w:t>
            </w:r>
          </w:p>
        </w:tc>
      </w:tr>
      <w:tr>
        <w:tblPrEx>
          <w:tblCellMar>
            <w:top w:w="0" w:type="dxa"/>
            <w:left w:w="0" w:type="dxa"/>
            <w:bottom w:w="0" w:type="dxa"/>
            <w:right w:w="0" w:type="dxa"/>
          </w:tblCellMar>
        </w:tblPrEx>
        <w:trPr>
          <w:trHeight w:val="544" w:hRule="atLeast"/>
        </w:trPr>
        <w:tc>
          <w:tcPr>
            <w:tcW w:w="22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2.一般债务还本支出</w:t>
            </w:r>
          </w:p>
        </w:tc>
        <w:tc>
          <w:tcPr>
            <w:tcW w:w="14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sz w:val="24"/>
              </w:rPr>
            </w:pP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sz w:val="24"/>
              </w:rPr>
            </w:pPr>
            <w:r>
              <w:rPr>
                <w:color w:val="000000"/>
                <w:kern w:val="0"/>
                <w:sz w:val="24"/>
              </w:rPr>
              <w:t>20000</w:t>
            </w:r>
          </w:p>
        </w:tc>
      </w:tr>
      <w:tr>
        <w:tblPrEx>
          <w:tblCellMar>
            <w:top w:w="0" w:type="dxa"/>
            <w:left w:w="0" w:type="dxa"/>
            <w:bottom w:w="0" w:type="dxa"/>
            <w:right w:w="0" w:type="dxa"/>
          </w:tblCellMar>
        </w:tblPrEx>
        <w:trPr>
          <w:trHeight w:val="544" w:hRule="atLeast"/>
        </w:trPr>
        <w:tc>
          <w:tcPr>
            <w:tcW w:w="22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3.设立预算稳定调节基金</w:t>
            </w:r>
          </w:p>
        </w:tc>
        <w:tc>
          <w:tcPr>
            <w:tcW w:w="14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sz w:val="24"/>
              </w:rPr>
            </w:pPr>
            <w:r>
              <w:rPr>
                <w:color w:val="000000"/>
                <w:kern w:val="0"/>
                <w:sz w:val="24"/>
              </w:rPr>
              <w:t>35</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sz w:val="24"/>
              </w:rPr>
            </w:pPr>
          </w:p>
        </w:tc>
      </w:tr>
      <w:tr>
        <w:tblPrEx>
          <w:tblCellMar>
            <w:top w:w="0" w:type="dxa"/>
            <w:left w:w="0" w:type="dxa"/>
            <w:bottom w:w="0" w:type="dxa"/>
            <w:right w:w="0" w:type="dxa"/>
          </w:tblCellMar>
        </w:tblPrEx>
        <w:trPr>
          <w:trHeight w:val="544" w:hRule="atLeast"/>
        </w:trPr>
        <w:tc>
          <w:tcPr>
            <w:tcW w:w="22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4.结转下年项目支出</w:t>
            </w:r>
          </w:p>
        </w:tc>
        <w:tc>
          <w:tcPr>
            <w:tcW w:w="14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sz w:val="24"/>
              </w:rPr>
            </w:pPr>
            <w:r>
              <w:rPr>
                <w:color w:val="000000"/>
                <w:kern w:val="0"/>
                <w:sz w:val="24"/>
              </w:rPr>
              <w:t>4509</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sz w:val="24"/>
              </w:rPr>
            </w:pPr>
            <w:r>
              <w:rPr>
                <w:color w:val="000000"/>
                <w:kern w:val="0"/>
                <w:sz w:val="24"/>
              </w:rPr>
              <w:t>2699</w:t>
            </w:r>
          </w:p>
        </w:tc>
      </w:tr>
    </w:tbl>
    <w:p>
      <w:pPr>
        <w:overflowPunct w:val="0"/>
        <w:adjustRightInd w:val="0"/>
        <w:snapToGrid w:val="0"/>
        <w:jc w:val="left"/>
        <w:rPr>
          <w:snapToGrid w:val="0"/>
          <w:kern w:val="0"/>
          <w:sz w:val="24"/>
        </w:rPr>
      </w:pPr>
      <w:r>
        <w:rPr>
          <w:rFonts w:hint="eastAsia"/>
          <w:snapToGrid w:val="0"/>
          <w:kern w:val="0"/>
          <w:sz w:val="24"/>
        </w:rPr>
        <w:t>备注：因</w:t>
      </w:r>
      <w:r>
        <w:rPr>
          <w:snapToGrid w:val="0"/>
          <w:kern w:val="0"/>
          <w:sz w:val="24"/>
        </w:rPr>
        <w:t>201</w:t>
      </w:r>
      <w:r>
        <w:rPr>
          <w:rFonts w:hint="eastAsia"/>
          <w:snapToGrid w:val="0"/>
          <w:kern w:val="0"/>
          <w:sz w:val="24"/>
        </w:rPr>
        <w:t>9年市区体制结算尚未完成，以结算结果为准。</w:t>
      </w:r>
    </w:p>
    <w:p>
      <w:pPr>
        <w:widowControl/>
        <w:jc w:val="left"/>
        <w:rPr>
          <w:bCs/>
          <w:snapToGrid w:val="0"/>
          <w:kern w:val="0"/>
          <w:sz w:val="24"/>
        </w:rPr>
      </w:pPr>
      <w:r>
        <w:rPr>
          <w:bCs/>
          <w:snapToGrid w:val="0"/>
          <w:kern w:val="0"/>
          <w:sz w:val="24"/>
        </w:rPr>
        <w:br w:type="page"/>
      </w:r>
    </w:p>
    <w:p>
      <w:pPr>
        <w:overflowPunct w:val="0"/>
        <w:adjustRightInd w:val="0"/>
        <w:snapToGrid w:val="0"/>
        <w:spacing w:line="360" w:lineRule="auto"/>
        <w:jc w:val="left"/>
        <w:rPr>
          <w:bCs/>
          <w:snapToGrid w:val="0"/>
          <w:kern w:val="0"/>
          <w:sz w:val="24"/>
        </w:rPr>
      </w:pPr>
      <w:r>
        <w:rPr>
          <w:rFonts w:hint="eastAsia"/>
          <w:bCs/>
          <w:snapToGrid w:val="0"/>
          <w:kern w:val="0"/>
          <w:sz w:val="24"/>
        </w:rPr>
        <w:t>附表一</w:t>
      </w:r>
      <w:r>
        <w:rPr>
          <w:snapToGrid w:val="0"/>
          <w:kern w:val="0"/>
          <w:sz w:val="24"/>
        </w:rPr>
        <w:t>-4</w:t>
      </w:r>
      <w:r>
        <w:rPr>
          <w:rFonts w:hint="eastAsia"/>
          <w:bCs/>
          <w:snapToGrid w:val="0"/>
          <w:kern w:val="0"/>
          <w:sz w:val="24"/>
          <w:vertAlign w:val="subscript"/>
        </w:rPr>
        <w:t>：</w:t>
      </w:r>
    </w:p>
    <w:p>
      <w:pPr>
        <w:overflowPunct w:val="0"/>
        <w:adjustRightInd w:val="0"/>
        <w:snapToGrid w:val="0"/>
        <w:jc w:val="center"/>
        <w:rPr>
          <w:b/>
          <w:bCs/>
          <w:snapToGrid w:val="0"/>
          <w:kern w:val="0"/>
          <w:sz w:val="36"/>
          <w:szCs w:val="36"/>
        </w:rPr>
      </w:pPr>
      <w:r>
        <w:rPr>
          <w:rFonts w:hint="eastAsia"/>
          <w:b/>
          <w:bCs/>
          <w:snapToGrid w:val="0"/>
          <w:kern w:val="0"/>
          <w:sz w:val="36"/>
          <w:szCs w:val="36"/>
        </w:rPr>
        <w:t>浙南产业集聚区本级2020年一般公共预算政府经济分类基本支出预算表</w:t>
      </w:r>
    </w:p>
    <w:p>
      <w:pPr>
        <w:overflowPunct w:val="0"/>
        <w:adjustRightInd w:val="0"/>
        <w:snapToGrid w:val="0"/>
        <w:jc w:val="right"/>
        <w:rPr>
          <w:snapToGrid w:val="0"/>
          <w:kern w:val="0"/>
          <w:sz w:val="28"/>
          <w:szCs w:val="28"/>
        </w:rPr>
      </w:pPr>
      <w:r>
        <w:rPr>
          <w:rFonts w:hint="eastAsia"/>
          <w:snapToGrid w:val="0"/>
          <w:kern w:val="0"/>
          <w:sz w:val="28"/>
          <w:szCs w:val="28"/>
        </w:rPr>
        <w:t>单位：万元</w:t>
      </w:r>
    </w:p>
    <w:tbl>
      <w:tblPr>
        <w:tblStyle w:val="23"/>
        <w:tblW w:w="5000" w:type="pct"/>
        <w:tblInd w:w="0" w:type="dxa"/>
        <w:tblLayout w:type="autofit"/>
        <w:tblCellMar>
          <w:top w:w="0" w:type="dxa"/>
          <w:left w:w="108" w:type="dxa"/>
          <w:bottom w:w="0" w:type="dxa"/>
          <w:right w:w="108" w:type="dxa"/>
        </w:tblCellMar>
      </w:tblPr>
      <w:tblGrid>
        <w:gridCol w:w="5913"/>
        <w:gridCol w:w="3373"/>
      </w:tblGrid>
      <w:tr>
        <w:trPr>
          <w:trHeight w:val="454" w:hRule="atLeast"/>
        </w:trPr>
        <w:tc>
          <w:tcPr>
            <w:tcW w:w="318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政府经济科目</w:t>
            </w:r>
          </w:p>
        </w:tc>
        <w:tc>
          <w:tcPr>
            <w:tcW w:w="181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b/>
                <w:bCs/>
                <w:color w:val="000000"/>
                <w:kern w:val="0"/>
                <w:sz w:val="24"/>
              </w:rPr>
            </w:pPr>
            <w:r>
              <w:rPr>
                <w:b/>
                <w:bCs/>
                <w:color w:val="000000"/>
                <w:kern w:val="0"/>
                <w:sz w:val="24"/>
              </w:rPr>
              <w:t>2020</w:t>
            </w:r>
            <w:r>
              <w:rPr>
                <w:rFonts w:hint="eastAsia" w:ascii="宋体" w:hAnsi="宋体"/>
                <w:b/>
                <w:bCs/>
                <w:color w:val="000000"/>
                <w:kern w:val="0"/>
                <w:sz w:val="24"/>
              </w:rPr>
              <w:t>年预算数</w:t>
            </w:r>
          </w:p>
        </w:tc>
      </w:tr>
      <w:tr>
        <w:tblPrEx>
          <w:tblCellMar>
            <w:top w:w="0" w:type="dxa"/>
            <w:left w:w="108" w:type="dxa"/>
            <w:bottom w:w="0" w:type="dxa"/>
            <w:right w:w="108" w:type="dxa"/>
          </w:tblCellMar>
        </w:tblPrEx>
        <w:trPr>
          <w:trHeight w:val="454" w:hRule="atLeast"/>
        </w:trPr>
        <w:tc>
          <w:tcPr>
            <w:tcW w:w="318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一、机关工资福利支出</w:t>
            </w:r>
          </w:p>
        </w:tc>
        <w:tc>
          <w:tcPr>
            <w:tcW w:w="181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rPr>
            </w:pPr>
            <w:r>
              <w:rPr>
                <w:color w:val="000000"/>
                <w:kern w:val="0"/>
                <w:sz w:val="24"/>
              </w:rPr>
              <w:t>37244</w:t>
            </w:r>
          </w:p>
        </w:tc>
      </w:tr>
      <w:tr>
        <w:tblPrEx>
          <w:tblCellMar>
            <w:top w:w="0" w:type="dxa"/>
            <w:left w:w="108" w:type="dxa"/>
            <w:bottom w:w="0" w:type="dxa"/>
            <w:right w:w="108" w:type="dxa"/>
          </w:tblCellMar>
        </w:tblPrEx>
        <w:trPr>
          <w:trHeight w:val="454" w:hRule="atLeast"/>
        </w:trPr>
        <w:tc>
          <w:tcPr>
            <w:tcW w:w="3184" w:type="pct"/>
            <w:tcBorders>
              <w:top w:val="nil"/>
              <w:left w:val="single" w:color="auto" w:sz="4" w:space="0"/>
              <w:bottom w:val="single" w:color="auto" w:sz="4" w:space="0"/>
              <w:right w:val="single" w:color="auto" w:sz="4" w:space="0"/>
            </w:tcBorders>
            <w:shd w:val="clear" w:color="auto" w:fill="auto"/>
            <w:noWrap/>
            <w:vAlign w:val="center"/>
          </w:tcPr>
          <w:p>
            <w:pPr>
              <w:widowControl/>
              <w:ind w:firstLine="480" w:firstLineChars="200"/>
              <w:jc w:val="left"/>
              <w:rPr>
                <w:color w:val="000000"/>
                <w:kern w:val="0"/>
                <w:sz w:val="24"/>
              </w:rPr>
            </w:pPr>
            <w:r>
              <w:rPr>
                <w:rFonts w:hint="eastAsia" w:ascii="宋体" w:hAnsi="宋体"/>
                <w:color w:val="000000"/>
                <w:kern w:val="0"/>
                <w:sz w:val="24"/>
              </w:rPr>
              <w:t>工资奖金津补贴</w:t>
            </w:r>
          </w:p>
        </w:tc>
        <w:tc>
          <w:tcPr>
            <w:tcW w:w="181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rPr>
            </w:pPr>
            <w:r>
              <w:rPr>
                <w:color w:val="000000"/>
                <w:kern w:val="0"/>
                <w:sz w:val="24"/>
              </w:rPr>
              <w:t>22996</w:t>
            </w:r>
          </w:p>
        </w:tc>
      </w:tr>
      <w:tr>
        <w:tblPrEx>
          <w:tblCellMar>
            <w:top w:w="0" w:type="dxa"/>
            <w:left w:w="108" w:type="dxa"/>
            <w:bottom w:w="0" w:type="dxa"/>
            <w:right w:w="108" w:type="dxa"/>
          </w:tblCellMar>
        </w:tblPrEx>
        <w:trPr>
          <w:trHeight w:val="454" w:hRule="atLeast"/>
        </w:trPr>
        <w:tc>
          <w:tcPr>
            <w:tcW w:w="3184" w:type="pct"/>
            <w:tcBorders>
              <w:top w:val="nil"/>
              <w:left w:val="single" w:color="auto" w:sz="4" w:space="0"/>
              <w:bottom w:val="single" w:color="auto" w:sz="4" w:space="0"/>
              <w:right w:val="single" w:color="auto" w:sz="4" w:space="0"/>
            </w:tcBorders>
            <w:shd w:val="clear" w:color="auto" w:fill="auto"/>
            <w:noWrap/>
            <w:vAlign w:val="center"/>
          </w:tcPr>
          <w:p>
            <w:pPr>
              <w:widowControl/>
              <w:ind w:firstLine="480" w:firstLineChars="200"/>
              <w:jc w:val="left"/>
              <w:rPr>
                <w:color w:val="000000"/>
                <w:kern w:val="0"/>
                <w:sz w:val="24"/>
              </w:rPr>
            </w:pPr>
            <w:r>
              <w:rPr>
                <w:rFonts w:hint="eastAsia" w:ascii="宋体" w:hAnsi="宋体"/>
                <w:color w:val="000000"/>
                <w:kern w:val="0"/>
                <w:sz w:val="24"/>
              </w:rPr>
              <w:t>社会保障缴费</w:t>
            </w:r>
          </w:p>
        </w:tc>
        <w:tc>
          <w:tcPr>
            <w:tcW w:w="181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rPr>
            </w:pPr>
            <w:r>
              <w:rPr>
                <w:color w:val="000000"/>
                <w:kern w:val="0"/>
                <w:sz w:val="24"/>
              </w:rPr>
              <w:t>4373</w:t>
            </w:r>
          </w:p>
        </w:tc>
      </w:tr>
      <w:tr>
        <w:tblPrEx>
          <w:tblCellMar>
            <w:top w:w="0" w:type="dxa"/>
            <w:left w:w="108" w:type="dxa"/>
            <w:bottom w:w="0" w:type="dxa"/>
            <w:right w:w="108" w:type="dxa"/>
          </w:tblCellMar>
        </w:tblPrEx>
        <w:trPr>
          <w:trHeight w:val="454" w:hRule="atLeast"/>
        </w:trPr>
        <w:tc>
          <w:tcPr>
            <w:tcW w:w="3184" w:type="pct"/>
            <w:tcBorders>
              <w:top w:val="nil"/>
              <w:left w:val="single" w:color="auto" w:sz="4" w:space="0"/>
              <w:bottom w:val="single" w:color="auto" w:sz="4" w:space="0"/>
              <w:right w:val="single" w:color="auto" w:sz="4" w:space="0"/>
            </w:tcBorders>
            <w:shd w:val="clear" w:color="auto" w:fill="auto"/>
            <w:noWrap/>
            <w:vAlign w:val="center"/>
          </w:tcPr>
          <w:p>
            <w:pPr>
              <w:widowControl/>
              <w:ind w:firstLine="480" w:firstLineChars="200"/>
              <w:jc w:val="left"/>
              <w:rPr>
                <w:color w:val="000000"/>
                <w:kern w:val="0"/>
                <w:sz w:val="24"/>
              </w:rPr>
            </w:pPr>
            <w:r>
              <w:rPr>
                <w:rFonts w:hint="eastAsia" w:ascii="宋体" w:hAnsi="宋体"/>
                <w:color w:val="000000"/>
                <w:kern w:val="0"/>
                <w:sz w:val="24"/>
              </w:rPr>
              <w:t>住房公积金</w:t>
            </w:r>
          </w:p>
        </w:tc>
        <w:tc>
          <w:tcPr>
            <w:tcW w:w="181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rPr>
            </w:pPr>
            <w:r>
              <w:rPr>
                <w:color w:val="000000"/>
                <w:kern w:val="0"/>
                <w:sz w:val="24"/>
              </w:rPr>
              <w:t>2375</w:t>
            </w:r>
          </w:p>
        </w:tc>
      </w:tr>
      <w:tr>
        <w:tblPrEx>
          <w:tblCellMar>
            <w:top w:w="0" w:type="dxa"/>
            <w:left w:w="108" w:type="dxa"/>
            <w:bottom w:w="0" w:type="dxa"/>
            <w:right w:w="108" w:type="dxa"/>
          </w:tblCellMar>
        </w:tblPrEx>
        <w:trPr>
          <w:trHeight w:val="454" w:hRule="atLeast"/>
        </w:trPr>
        <w:tc>
          <w:tcPr>
            <w:tcW w:w="3184" w:type="pct"/>
            <w:tcBorders>
              <w:top w:val="nil"/>
              <w:left w:val="single" w:color="auto" w:sz="4" w:space="0"/>
              <w:bottom w:val="single" w:color="auto" w:sz="4" w:space="0"/>
              <w:right w:val="single" w:color="auto" w:sz="4" w:space="0"/>
            </w:tcBorders>
            <w:shd w:val="clear" w:color="auto" w:fill="auto"/>
            <w:noWrap/>
            <w:vAlign w:val="center"/>
          </w:tcPr>
          <w:p>
            <w:pPr>
              <w:widowControl/>
              <w:ind w:firstLine="480" w:firstLineChars="200"/>
              <w:jc w:val="left"/>
              <w:rPr>
                <w:color w:val="000000"/>
                <w:kern w:val="0"/>
                <w:sz w:val="24"/>
              </w:rPr>
            </w:pPr>
            <w:r>
              <w:rPr>
                <w:rFonts w:hint="eastAsia" w:ascii="宋体" w:hAnsi="宋体"/>
                <w:color w:val="000000"/>
                <w:kern w:val="0"/>
                <w:sz w:val="24"/>
              </w:rPr>
              <w:t>其他工资福利支出</w:t>
            </w:r>
          </w:p>
        </w:tc>
        <w:tc>
          <w:tcPr>
            <w:tcW w:w="181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rPr>
            </w:pPr>
            <w:r>
              <w:rPr>
                <w:color w:val="000000"/>
                <w:kern w:val="0"/>
                <w:sz w:val="24"/>
              </w:rPr>
              <w:t>7500</w:t>
            </w:r>
          </w:p>
        </w:tc>
      </w:tr>
      <w:tr>
        <w:tblPrEx>
          <w:tblCellMar>
            <w:top w:w="0" w:type="dxa"/>
            <w:left w:w="108" w:type="dxa"/>
            <w:bottom w:w="0" w:type="dxa"/>
            <w:right w:w="108" w:type="dxa"/>
          </w:tblCellMar>
        </w:tblPrEx>
        <w:trPr>
          <w:trHeight w:val="454" w:hRule="atLeast"/>
        </w:trPr>
        <w:tc>
          <w:tcPr>
            <w:tcW w:w="318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二、机关商品和服务支出</w:t>
            </w:r>
          </w:p>
        </w:tc>
        <w:tc>
          <w:tcPr>
            <w:tcW w:w="181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rPr>
            </w:pPr>
            <w:r>
              <w:rPr>
                <w:color w:val="000000"/>
                <w:kern w:val="0"/>
                <w:sz w:val="24"/>
              </w:rPr>
              <w:t>2691</w:t>
            </w:r>
          </w:p>
        </w:tc>
      </w:tr>
      <w:tr>
        <w:tblPrEx>
          <w:tblCellMar>
            <w:top w:w="0" w:type="dxa"/>
            <w:left w:w="108" w:type="dxa"/>
            <w:bottom w:w="0" w:type="dxa"/>
            <w:right w:w="108" w:type="dxa"/>
          </w:tblCellMar>
        </w:tblPrEx>
        <w:trPr>
          <w:trHeight w:val="454" w:hRule="atLeast"/>
        </w:trPr>
        <w:tc>
          <w:tcPr>
            <w:tcW w:w="3184" w:type="pct"/>
            <w:tcBorders>
              <w:top w:val="nil"/>
              <w:left w:val="single" w:color="auto" w:sz="4" w:space="0"/>
              <w:bottom w:val="single" w:color="auto" w:sz="4" w:space="0"/>
              <w:right w:val="single" w:color="auto" w:sz="4" w:space="0"/>
            </w:tcBorders>
            <w:shd w:val="clear" w:color="auto" w:fill="auto"/>
            <w:noWrap/>
            <w:vAlign w:val="center"/>
          </w:tcPr>
          <w:p>
            <w:pPr>
              <w:widowControl/>
              <w:ind w:firstLine="480" w:firstLineChars="200"/>
              <w:jc w:val="left"/>
              <w:rPr>
                <w:rFonts w:ascii="宋体" w:hAnsi="宋体" w:cs="宋体"/>
                <w:color w:val="000000"/>
                <w:kern w:val="0"/>
                <w:sz w:val="24"/>
              </w:rPr>
            </w:pPr>
            <w:r>
              <w:rPr>
                <w:rFonts w:hint="eastAsia" w:ascii="宋体" w:hAnsi="宋体" w:cs="宋体"/>
                <w:color w:val="000000"/>
                <w:kern w:val="0"/>
                <w:sz w:val="24"/>
              </w:rPr>
              <w:t>办公经费</w:t>
            </w:r>
          </w:p>
        </w:tc>
        <w:tc>
          <w:tcPr>
            <w:tcW w:w="181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rPr>
            </w:pPr>
            <w:r>
              <w:rPr>
                <w:color w:val="000000"/>
                <w:kern w:val="0"/>
                <w:sz w:val="24"/>
              </w:rPr>
              <w:t>900</w:t>
            </w:r>
          </w:p>
        </w:tc>
      </w:tr>
      <w:tr>
        <w:tblPrEx>
          <w:tblCellMar>
            <w:top w:w="0" w:type="dxa"/>
            <w:left w:w="108" w:type="dxa"/>
            <w:bottom w:w="0" w:type="dxa"/>
            <w:right w:w="108" w:type="dxa"/>
          </w:tblCellMar>
        </w:tblPrEx>
        <w:trPr>
          <w:trHeight w:val="454" w:hRule="atLeast"/>
        </w:trPr>
        <w:tc>
          <w:tcPr>
            <w:tcW w:w="3184" w:type="pct"/>
            <w:tcBorders>
              <w:top w:val="nil"/>
              <w:left w:val="single" w:color="auto" w:sz="4" w:space="0"/>
              <w:bottom w:val="single" w:color="auto" w:sz="4" w:space="0"/>
              <w:right w:val="single" w:color="auto" w:sz="4" w:space="0"/>
            </w:tcBorders>
            <w:shd w:val="clear" w:color="auto" w:fill="auto"/>
            <w:noWrap/>
            <w:vAlign w:val="center"/>
          </w:tcPr>
          <w:p>
            <w:pPr>
              <w:widowControl/>
              <w:ind w:firstLine="480" w:firstLineChars="200"/>
              <w:jc w:val="left"/>
              <w:rPr>
                <w:color w:val="000000"/>
                <w:kern w:val="0"/>
                <w:sz w:val="24"/>
              </w:rPr>
            </w:pPr>
            <w:r>
              <w:rPr>
                <w:rFonts w:hint="eastAsia" w:ascii="宋体" w:hAnsi="宋体"/>
                <w:color w:val="000000"/>
                <w:kern w:val="0"/>
                <w:sz w:val="24"/>
              </w:rPr>
              <w:t>会议费</w:t>
            </w:r>
          </w:p>
        </w:tc>
        <w:tc>
          <w:tcPr>
            <w:tcW w:w="181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rPr>
            </w:pPr>
            <w:r>
              <w:rPr>
                <w:color w:val="000000"/>
                <w:kern w:val="0"/>
                <w:sz w:val="24"/>
              </w:rPr>
              <w:t>10</w:t>
            </w:r>
          </w:p>
        </w:tc>
      </w:tr>
      <w:tr>
        <w:tblPrEx>
          <w:tblCellMar>
            <w:top w:w="0" w:type="dxa"/>
            <w:left w:w="108" w:type="dxa"/>
            <w:bottom w:w="0" w:type="dxa"/>
            <w:right w:w="108" w:type="dxa"/>
          </w:tblCellMar>
        </w:tblPrEx>
        <w:trPr>
          <w:trHeight w:val="454" w:hRule="atLeast"/>
        </w:trPr>
        <w:tc>
          <w:tcPr>
            <w:tcW w:w="3184" w:type="pct"/>
            <w:tcBorders>
              <w:top w:val="nil"/>
              <w:left w:val="single" w:color="auto" w:sz="4" w:space="0"/>
              <w:bottom w:val="single" w:color="auto" w:sz="4" w:space="0"/>
              <w:right w:val="single" w:color="auto" w:sz="4" w:space="0"/>
            </w:tcBorders>
            <w:shd w:val="clear" w:color="auto" w:fill="auto"/>
            <w:noWrap/>
            <w:vAlign w:val="center"/>
          </w:tcPr>
          <w:p>
            <w:pPr>
              <w:widowControl/>
              <w:ind w:firstLine="480" w:firstLineChars="200"/>
              <w:jc w:val="left"/>
              <w:rPr>
                <w:color w:val="000000"/>
                <w:kern w:val="0"/>
                <w:sz w:val="24"/>
              </w:rPr>
            </w:pPr>
            <w:r>
              <w:rPr>
                <w:rFonts w:hint="eastAsia" w:ascii="宋体" w:hAnsi="宋体"/>
                <w:color w:val="000000"/>
                <w:kern w:val="0"/>
                <w:sz w:val="24"/>
              </w:rPr>
              <w:t>培训费</w:t>
            </w:r>
          </w:p>
        </w:tc>
        <w:tc>
          <w:tcPr>
            <w:tcW w:w="181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rPr>
            </w:pPr>
            <w:r>
              <w:rPr>
                <w:color w:val="000000"/>
                <w:kern w:val="0"/>
                <w:sz w:val="24"/>
              </w:rPr>
              <w:t>200</w:t>
            </w:r>
          </w:p>
        </w:tc>
      </w:tr>
      <w:tr>
        <w:tblPrEx>
          <w:tblCellMar>
            <w:top w:w="0" w:type="dxa"/>
            <w:left w:w="108" w:type="dxa"/>
            <w:bottom w:w="0" w:type="dxa"/>
            <w:right w:w="108" w:type="dxa"/>
          </w:tblCellMar>
        </w:tblPrEx>
        <w:trPr>
          <w:trHeight w:val="454" w:hRule="atLeast"/>
        </w:trPr>
        <w:tc>
          <w:tcPr>
            <w:tcW w:w="3184" w:type="pct"/>
            <w:tcBorders>
              <w:top w:val="nil"/>
              <w:left w:val="single" w:color="auto" w:sz="4" w:space="0"/>
              <w:bottom w:val="single" w:color="auto" w:sz="4" w:space="0"/>
              <w:right w:val="single" w:color="auto" w:sz="4" w:space="0"/>
            </w:tcBorders>
            <w:shd w:val="clear" w:color="auto" w:fill="auto"/>
            <w:noWrap/>
            <w:vAlign w:val="center"/>
          </w:tcPr>
          <w:p>
            <w:pPr>
              <w:widowControl/>
              <w:ind w:firstLine="480" w:firstLineChars="200"/>
              <w:jc w:val="left"/>
              <w:rPr>
                <w:color w:val="000000"/>
                <w:kern w:val="0"/>
                <w:sz w:val="24"/>
              </w:rPr>
            </w:pPr>
            <w:r>
              <w:rPr>
                <w:rFonts w:hint="eastAsia" w:ascii="宋体" w:hAnsi="宋体"/>
                <w:color w:val="000000"/>
                <w:kern w:val="0"/>
                <w:sz w:val="24"/>
              </w:rPr>
              <w:t>委托业务费</w:t>
            </w:r>
          </w:p>
        </w:tc>
        <w:tc>
          <w:tcPr>
            <w:tcW w:w="181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rPr>
            </w:pPr>
            <w:r>
              <w:rPr>
                <w:color w:val="000000"/>
                <w:kern w:val="0"/>
                <w:sz w:val="24"/>
              </w:rPr>
              <w:t>1000</w:t>
            </w:r>
          </w:p>
        </w:tc>
      </w:tr>
      <w:tr>
        <w:tblPrEx>
          <w:tblCellMar>
            <w:top w:w="0" w:type="dxa"/>
            <w:left w:w="108" w:type="dxa"/>
            <w:bottom w:w="0" w:type="dxa"/>
            <w:right w:w="108" w:type="dxa"/>
          </w:tblCellMar>
        </w:tblPrEx>
        <w:trPr>
          <w:trHeight w:val="454" w:hRule="atLeast"/>
        </w:trPr>
        <w:tc>
          <w:tcPr>
            <w:tcW w:w="3184" w:type="pct"/>
            <w:tcBorders>
              <w:top w:val="nil"/>
              <w:left w:val="single" w:color="auto" w:sz="4" w:space="0"/>
              <w:bottom w:val="single" w:color="auto" w:sz="4" w:space="0"/>
              <w:right w:val="single" w:color="auto" w:sz="4" w:space="0"/>
            </w:tcBorders>
            <w:shd w:val="clear" w:color="auto" w:fill="auto"/>
            <w:noWrap/>
            <w:vAlign w:val="center"/>
          </w:tcPr>
          <w:p>
            <w:pPr>
              <w:widowControl/>
              <w:ind w:firstLine="480" w:firstLineChars="200"/>
              <w:jc w:val="left"/>
              <w:rPr>
                <w:rFonts w:ascii="宋体" w:hAnsi="宋体" w:cs="宋体"/>
                <w:color w:val="000000"/>
                <w:kern w:val="0"/>
                <w:sz w:val="24"/>
              </w:rPr>
            </w:pPr>
            <w:r>
              <w:rPr>
                <w:rFonts w:hint="eastAsia" w:ascii="宋体" w:hAnsi="宋体" w:cs="宋体"/>
                <w:color w:val="000000"/>
                <w:kern w:val="0"/>
                <w:sz w:val="24"/>
              </w:rPr>
              <w:t>公务接待费</w:t>
            </w:r>
          </w:p>
        </w:tc>
        <w:tc>
          <w:tcPr>
            <w:tcW w:w="181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rPr>
            </w:pPr>
            <w:r>
              <w:rPr>
                <w:color w:val="000000"/>
                <w:kern w:val="0"/>
                <w:sz w:val="24"/>
              </w:rPr>
              <w:t>25</w:t>
            </w:r>
          </w:p>
        </w:tc>
      </w:tr>
      <w:tr>
        <w:tblPrEx>
          <w:tblCellMar>
            <w:top w:w="0" w:type="dxa"/>
            <w:left w:w="108" w:type="dxa"/>
            <w:bottom w:w="0" w:type="dxa"/>
            <w:right w:w="108" w:type="dxa"/>
          </w:tblCellMar>
        </w:tblPrEx>
        <w:trPr>
          <w:trHeight w:val="454" w:hRule="atLeast"/>
        </w:trPr>
        <w:tc>
          <w:tcPr>
            <w:tcW w:w="3184" w:type="pct"/>
            <w:tcBorders>
              <w:top w:val="nil"/>
              <w:left w:val="single" w:color="auto" w:sz="4" w:space="0"/>
              <w:bottom w:val="single" w:color="auto" w:sz="4" w:space="0"/>
              <w:right w:val="single" w:color="auto" w:sz="4" w:space="0"/>
            </w:tcBorders>
            <w:shd w:val="clear" w:color="auto" w:fill="auto"/>
            <w:noWrap/>
            <w:vAlign w:val="center"/>
          </w:tcPr>
          <w:p>
            <w:pPr>
              <w:widowControl/>
              <w:ind w:firstLine="480" w:firstLineChars="200"/>
              <w:jc w:val="left"/>
              <w:rPr>
                <w:rFonts w:ascii="宋体" w:hAnsi="宋体" w:cs="宋体"/>
                <w:color w:val="000000"/>
                <w:kern w:val="0"/>
                <w:sz w:val="24"/>
              </w:rPr>
            </w:pPr>
            <w:r>
              <w:rPr>
                <w:rFonts w:hint="eastAsia" w:ascii="宋体" w:hAnsi="宋体" w:cs="宋体"/>
                <w:color w:val="000000"/>
                <w:kern w:val="0"/>
                <w:sz w:val="24"/>
              </w:rPr>
              <w:t>公务用车运行维护费</w:t>
            </w:r>
          </w:p>
        </w:tc>
        <w:tc>
          <w:tcPr>
            <w:tcW w:w="181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rPr>
            </w:pPr>
            <w:r>
              <w:rPr>
                <w:color w:val="000000"/>
                <w:kern w:val="0"/>
                <w:sz w:val="24"/>
              </w:rPr>
              <w:t>356</w:t>
            </w:r>
          </w:p>
        </w:tc>
      </w:tr>
      <w:tr>
        <w:trPr>
          <w:trHeight w:val="454" w:hRule="atLeast"/>
        </w:trPr>
        <w:tc>
          <w:tcPr>
            <w:tcW w:w="3184" w:type="pct"/>
            <w:tcBorders>
              <w:top w:val="nil"/>
              <w:left w:val="single" w:color="auto" w:sz="4" w:space="0"/>
              <w:bottom w:val="single" w:color="auto" w:sz="4" w:space="0"/>
              <w:right w:val="single" w:color="auto" w:sz="4" w:space="0"/>
            </w:tcBorders>
            <w:shd w:val="clear" w:color="auto" w:fill="auto"/>
            <w:noWrap/>
            <w:vAlign w:val="center"/>
          </w:tcPr>
          <w:p>
            <w:pPr>
              <w:widowControl/>
              <w:ind w:firstLine="480" w:firstLineChars="200"/>
              <w:jc w:val="left"/>
              <w:rPr>
                <w:rFonts w:ascii="宋体" w:hAnsi="宋体" w:cs="宋体"/>
                <w:color w:val="000000"/>
                <w:kern w:val="0"/>
                <w:sz w:val="24"/>
              </w:rPr>
            </w:pPr>
            <w:r>
              <w:rPr>
                <w:rFonts w:hint="eastAsia" w:ascii="宋体" w:hAnsi="宋体" w:cs="宋体"/>
                <w:color w:val="000000"/>
                <w:kern w:val="0"/>
                <w:sz w:val="24"/>
              </w:rPr>
              <w:t>其他商品和服务支出</w:t>
            </w:r>
          </w:p>
        </w:tc>
        <w:tc>
          <w:tcPr>
            <w:tcW w:w="181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rPr>
            </w:pPr>
            <w:r>
              <w:rPr>
                <w:color w:val="000000"/>
                <w:kern w:val="0"/>
                <w:sz w:val="24"/>
              </w:rPr>
              <w:t>200</w:t>
            </w:r>
          </w:p>
        </w:tc>
      </w:tr>
      <w:tr>
        <w:tblPrEx>
          <w:tblCellMar>
            <w:top w:w="0" w:type="dxa"/>
            <w:left w:w="108" w:type="dxa"/>
            <w:bottom w:w="0" w:type="dxa"/>
            <w:right w:w="108" w:type="dxa"/>
          </w:tblCellMar>
        </w:tblPrEx>
        <w:trPr>
          <w:trHeight w:val="454" w:hRule="atLeast"/>
        </w:trPr>
        <w:tc>
          <w:tcPr>
            <w:tcW w:w="318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三、机关资本性支出</w:t>
            </w:r>
          </w:p>
        </w:tc>
        <w:tc>
          <w:tcPr>
            <w:tcW w:w="181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rPr>
            </w:pPr>
            <w:r>
              <w:rPr>
                <w:color w:val="000000"/>
                <w:kern w:val="0"/>
                <w:sz w:val="24"/>
              </w:rPr>
              <w:t>400</w:t>
            </w:r>
          </w:p>
        </w:tc>
      </w:tr>
      <w:tr>
        <w:tblPrEx>
          <w:tblCellMar>
            <w:top w:w="0" w:type="dxa"/>
            <w:left w:w="108" w:type="dxa"/>
            <w:bottom w:w="0" w:type="dxa"/>
            <w:right w:w="108" w:type="dxa"/>
          </w:tblCellMar>
        </w:tblPrEx>
        <w:trPr>
          <w:trHeight w:val="454" w:hRule="atLeast"/>
        </w:trPr>
        <w:tc>
          <w:tcPr>
            <w:tcW w:w="3184" w:type="pct"/>
            <w:tcBorders>
              <w:top w:val="nil"/>
              <w:left w:val="single" w:color="auto" w:sz="4" w:space="0"/>
              <w:bottom w:val="single" w:color="auto" w:sz="4" w:space="0"/>
              <w:right w:val="single" w:color="auto" w:sz="4" w:space="0"/>
            </w:tcBorders>
            <w:shd w:val="clear" w:color="auto" w:fill="auto"/>
            <w:noWrap/>
            <w:vAlign w:val="center"/>
          </w:tcPr>
          <w:p>
            <w:pPr>
              <w:widowControl/>
              <w:ind w:firstLine="480" w:firstLineChars="200"/>
              <w:jc w:val="left"/>
              <w:rPr>
                <w:color w:val="000000"/>
                <w:kern w:val="0"/>
                <w:sz w:val="24"/>
              </w:rPr>
            </w:pPr>
            <w:r>
              <w:rPr>
                <w:rFonts w:hint="eastAsia" w:ascii="宋体" w:hAnsi="宋体"/>
                <w:color w:val="000000"/>
                <w:kern w:val="0"/>
                <w:sz w:val="24"/>
              </w:rPr>
              <w:t>设备购置</w:t>
            </w:r>
          </w:p>
        </w:tc>
        <w:tc>
          <w:tcPr>
            <w:tcW w:w="181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rPr>
            </w:pPr>
            <w:r>
              <w:rPr>
                <w:rFonts w:hint="eastAsia"/>
                <w:color w:val="000000"/>
                <w:kern w:val="0"/>
                <w:sz w:val="24"/>
              </w:rPr>
              <w:t>400</w:t>
            </w:r>
          </w:p>
        </w:tc>
      </w:tr>
      <w:tr>
        <w:tblPrEx>
          <w:tblCellMar>
            <w:top w:w="0" w:type="dxa"/>
            <w:left w:w="108" w:type="dxa"/>
            <w:bottom w:w="0" w:type="dxa"/>
            <w:right w:w="108" w:type="dxa"/>
          </w:tblCellMar>
        </w:tblPrEx>
        <w:trPr>
          <w:trHeight w:val="454" w:hRule="atLeast"/>
        </w:trPr>
        <w:tc>
          <w:tcPr>
            <w:tcW w:w="318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四、对事业单位经常性补助</w:t>
            </w:r>
          </w:p>
        </w:tc>
        <w:tc>
          <w:tcPr>
            <w:tcW w:w="181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rPr>
            </w:pPr>
            <w:r>
              <w:rPr>
                <w:color w:val="000000"/>
                <w:kern w:val="0"/>
                <w:sz w:val="24"/>
              </w:rPr>
              <w:t>29100</w:t>
            </w:r>
          </w:p>
        </w:tc>
      </w:tr>
      <w:tr>
        <w:tblPrEx>
          <w:tblCellMar>
            <w:top w:w="0" w:type="dxa"/>
            <w:left w:w="108" w:type="dxa"/>
            <w:bottom w:w="0" w:type="dxa"/>
            <w:right w:w="108" w:type="dxa"/>
          </w:tblCellMar>
        </w:tblPrEx>
        <w:trPr>
          <w:trHeight w:val="454" w:hRule="atLeast"/>
        </w:trPr>
        <w:tc>
          <w:tcPr>
            <w:tcW w:w="3184" w:type="pct"/>
            <w:tcBorders>
              <w:top w:val="nil"/>
              <w:left w:val="single" w:color="auto" w:sz="4" w:space="0"/>
              <w:bottom w:val="single" w:color="auto" w:sz="4" w:space="0"/>
              <w:right w:val="single" w:color="auto" w:sz="4" w:space="0"/>
            </w:tcBorders>
            <w:shd w:val="clear" w:color="auto" w:fill="auto"/>
            <w:noWrap/>
            <w:vAlign w:val="center"/>
          </w:tcPr>
          <w:p>
            <w:pPr>
              <w:widowControl/>
              <w:ind w:firstLine="480" w:firstLineChars="200"/>
              <w:jc w:val="left"/>
              <w:rPr>
                <w:color w:val="000000"/>
                <w:kern w:val="0"/>
                <w:sz w:val="24"/>
              </w:rPr>
            </w:pPr>
            <w:r>
              <w:rPr>
                <w:rFonts w:hint="eastAsia" w:ascii="宋体" w:hAnsi="宋体"/>
                <w:color w:val="000000"/>
                <w:kern w:val="0"/>
                <w:sz w:val="24"/>
              </w:rPr>
              <w:t>工资福利支出</w:t>
            </w:r>
          </w:p>
        </w:tc>
        <w:tc>
          <w:tcPr>
            <w:tcW w:w="181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rPr>
            </w:pPr>
            <w:r>
              <w:rPr>
                <w:color w:val="000000"/>
                <w:kern w:val="0"/>
                <w:sz w:val="24"/>
              </w:rPr>
              <w:t>26500</w:t>
            </w:r>
          </w:p>
        </w:tc>
      </w:tr>
      <w:tr>
        <w:tblPrEx>
          <w:tblCellMar>
            <w:top w:w="0" w:type="dxa"/>
            <w:left w:w="108" w:type="dxa"/>
            <w:bottom w:w="0" w:type="dxa"/>
            <w:right w:w="108" w:type="dxa"/>
          </w:tblCellMar>
        </w:tblPrEx>
        <w:trPr>
          <w:trHeight w:val="454" w:hRule="atLeast"/>
        </w:trPr>
        <w:tc>
          <w:tcPr>
            <w:tcW w:w="3184" w:type="pct"/>
            <w:tcBorders>
              <w:top w:val="nil"/>
              <w:left w:val="single" w:color="auto" w:sz="4" w:space="0"/>
              <w:bottom w:val="single" w:color="auto" w:sz="4" w:space="0"/>
              <w:right w:val="single" w:color="auto" w:sz="4" w:space="0"/>
            </w:tcBorders>
            <w:shd w:val="clear" w:color="auto" w:fill="auto"/>
            <w:noWrap/>
            <w:vAlign w:val="center"/>
          </w:tcPr>
          <w:p>
            <w:pPr>
              <w:widowControl/>
              <w:ind w:firstLine="480" w:firstLineChars="200"/>
              <w:jc w:val="left"/>
              <w:rPr>
                <w:color w:val="000000"/>
                <w:kern w:val="0"/>
                <w:sz w:val="24"/>
              </w:rPr>
            </w:pPr>
            <w:r>
              <w:rPr>
                <w:rFonts w:hint="eastAsia" w:ascii="宋体" w:hAnsi="宋体"/>
                <w:color w:val="000000"/>
                <w:kern w:val="0"/>
                <w:sz w:val="24"/>
              </w:rPr>
              <w:t>商品和服务支出</w:t>
            </w:r>
          </w:p>
        </w:tc>
        <w:tc>
          <w:tcPr>
            <w:tcW w:w="181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rPr>
            </w:pPr>
            <w:r>
              <w:rPr>
                <w:color w:val="000000"/>
                <w:kern w:val="0"/>
                <w:sz w:val="24"/>
              </w:rPr>
              <w:t>2600</w:t>
            </w:r>
          </w:p>
        </w:tc>
      </w:tr>
      <w:tr>
        <w:tblPrEx>
          <w:tblCellMar>
            <w:top w:w="0" w:type="dxa"/>
            <w:left w:w="108" w:type="dxa"/>
            <w:bottom w:w="0" w:type="dxa"/>
            <w:right w:w="108" w:type="dxa"/>
          </w:tblCellMar>
        </w:tblPrEx>
        <w:trPr>
          <w:trHeight w:val="454" w:hRule="atLeast"/>
        </w:trPr>
        <w:tc>
          <w:tcPr>
            <w:tcW w:w="318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五、对事业单位资本性支出</w:t>
            </w:r>
          </w:p>
        </w:tc>
        <w:tc>
          <w:tcPr>
            <w:tcW w:w="181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rPr>
            </w:pPr>
            <w:r>
              <w:rPr>
                <w:color w:val="000000"/>
                <w:kern w:val="0"/>
                <w:sz w:val="24"/>
              </w:rPr>
              <w:t>300</w:t>
            </w:r>
          </w:p>
        </w:tc>
      </w:tr>
      <w:tr>
        <w:tblPrEx>
          <w:tblCellMar>
            <w:top w:w="0" w:type="dxa"/>
            <w:left w:w="108" w:type="dxa"/>
            <w:bottom w:w="0" w:type="dxa"/>
            <w:right w:w="108" w:type="dxa"/>
          </w:tblCellMar>
        </w:tblPrEx>
        <w:trPr>
          <w:trHeight w:val="454" w:hRule="atLeast"/>
        </w:trPr>
        <w:tc>
          <w:tcPr>
            <w:tcW w:w="3184" w:type="pct"/>
            <w:tcBorders>
              <w:top w:val="nil"/>
              <w:left w:val="single" w:color="auto" w:sz="4" w:space="0"/>
              <w:bottom w:val="single" w:color="auto" w:sz="4" w:space="0"/>
              <w:right w:val="single" w:color="auto" w:sz="4" w:space="0"/>
            </w:tcBorders>
            <w:shd w:val="clear" w:color="auto" w:fill="auto"/>
            <w:noWrap/>
            <w:vAlign w:val="center"/>
          </w:tcPr>
          <w:p>
            <w:pPr>
              <w:widowControl/>
              <w:ind w:firstLine="480" w:firstLineChars="200"/>
              <w:jc w:val="left"/>
              <w:rPr>
                <w:color w:val="000000"/>
                <w:kern w:val="0"/>
                <w:sz w:val="24"/>
              </w:rPr>
            </w:pPr>
            <w:r>
              <w:rPr>
                <w:rFonts w:hint="eastAsia" w:ascii="宋体" w:hAnsi="宋体"/>
                <w:color w:val="000000"/>
                <w:kern w:val="0"/>
                <w:sz w:val="24"/>
              </w:rPr>
              <w:t>资本性支出（一）</w:t>
            </w:r>
          </w:p>
        </w:tc>
        <w:tc>
          <w:tcPr>
            <w:tcW w:w="181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rPr>
            </w:pPr>
            <w:r>
              <w:rPr>
                <w:color w:val="000000"/>
                <w:kern w:val="0"/>
                <w:sz w:val="24"/>
              </w:rPr>
              <w:t>300</w:t>
            </w:r>
          </w:p>
        </w:tc>
      </w:tr>
      <w:tr>
        <w:tblPrEx>
          <w:tblCellMar>
            <w:top w:w="0" w:type="dxa"/>
            <w:left w:w="108" w:type="dxa"/>
            <w:bottom w:w="0" w:type="dxa"/>
            <w:right w:w="108" w:type="dxa"/>
          </w:tblCellMar>
        </w:tblPrEx>
        <w:trPr>
          <w:trHeight w:val="454" w:hRule="atLeast"/>
        </w:trPr>
        <w:tc>
          <w:tcPr>
            <w:tcW w:w="318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六、对个人和家庭补助</w:t>
            </w:r>
          </w:p>
        </w:tc>
        <w:tc>
          <w:tcPr>
            <w:tcW w:w="181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rPr>
            </w:pPr>
            <w:r>
              <w:rPr>
                <w:color w:val="000000"/>
                <w:kern w:val="0"/>
                <w:sz w:val="24"/>
              </w:rPr>
              <w:t>185</w:t>
            </w:r>
          </w:p>
        </w:tc>
      </w:tr>
      <w:tr>
        <w:trPr>
          <w:trHeight w:val="454" w:hRule="atLeast"/>
        </w:trPr>
        <w:tc>
          <w:tcPr>
            <w:tcW w:w="3184" w:type="pct"/>
            <w:tcBorders>
              <w:top w:val="nil"/>
              <w:left w:val="single" w:color="auto" w:sz="4" w:space="0"/>
              <w:bottom w:val="single" w:color="auto" w:sz="4" w:space="0"/>
              <w:right w:val="single" w:color="auto" w:sz="4" w:space="0"/>
            </w:tcBorders>
            <w:shd w:val="clear" w:color="auto" w:fill="auto"/>
            <w:noWrap/>
            <w:vAlign w:val="center"/>
          </w:tcPr>
          <w:p>
            <w:pPr>
              <w:widowControl/>
              <w:ind w:firstLine="480" w:firstLineChars="200"/>
              <w:jc w:val="left"/>
              <w:rPr>
                <w:color w:val="000000"/>
                <w:kern w:val="0"/>
                <w:sz w:val="24"/>
              </w:rPr>
            </w:pPr>
            <w:r>
              <w:rPr>
                <w:rFonts w:hint="eastAsia" w:ascii="宋体" w:hAnsi="宋体"/>
                <w:color w:val="000000"/>
                <w:kern w:val="0"/>
                <w:sz w:val="24"/>
              </w:rPr>
              <w:t>离退休费</w:t>
            </w:r>
          </w:p>
        </w:tc>
        <w:tc>
          <w:tcPr>
            <w:tcW w:w="181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rPr>
            </w:pPr>
            <w:r>
              <w:rPr>
                <w:color w:val="000000"/>
                <w:kern w:val="0"/>
                <w:sz w:val="24"/>
              </w:rPr>
              <w:t>45</w:t>
            </w:r>
          </w:p>
        </w:tc>
      </w:tr>
      <w:tr>
        <w:tblPrEx>
          <w:tblCellMar>
            <w:top w:w="0" w:type="dxa"/>
            <w:left w:w="108" w:type="dxa"/>
            <w:bottom w:w="0" w:type="dxa"/>
            <w:right w:w="108" w:type="dxa"/>
          </w:tblCellMar>
        </w:tblPrEx>
        <w:trPr>
          <w:trHeight w:val="454" w:hRule="atLeast"/>
        </w:trPr>
        <w:tc>
          <w:tcPr>
            <w:tcW w:w="3184" w:type="pct"/>
            <w:tcBorders>
              <w:top w:val="nil"/>
              <w:left w:val="single" w:color="auto" w:sz="4" w:space="0"/>
              <w:bottom w:val="single" w:color="auto" w:sz="4" w:space="0"/>
              <w:right w:val="single" w:color="auto" w:sz="4" w:space="0"/>
            </w:tcBorders>
            <w:shd w:val="clear" w:color="auto" w:fill="auto"/>
            <w:noWrap/>
            <w:vAlign w:val="center"/>
          </w:tcPr>
          <w:p>
            <w:pPr>
              <w:widowControl/>
              <w:ind w:firstLine="480" w:firstLineChars="200"/>
              <w:jc w:val="left"/>
              <w:rPr>
                <w:color w:val="000000"/>
                <w:kern w:val="0"/>
                <w:sz w:val="24"/>
              </w:rPr>
            </w:pPr>
            <w:r>
              <w:rPr>
                <w:rFonts w:hint="eastAsia" w:ascii="宋体" w:hAnsi="宋体"/>
                <w:color w:val="000000"/>
                <w:kern w:val="0"/>
                <w:sz w:val="24"/>
              </w:rPr>
              <w:t>其他对个人和家庭补助</w:t>
            </w:r>
          </w:p>
        </w:tc>
        <w:tc>
          <w:tcPr>
            <w:tcW w:w="181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rPr>
            </w:pPr>
            <w:r>
              <w:rPr>
                <w:color w:val="000000"/>
                <w:kern w:val="0"/>
                <w:sz w:val="24"/>
              </w:rPr>
              <w:t>140</w:t>
            </w:r>
          </w:p>
        </w:tc>
      </w:tr>
      <w:tr>
        <w:tblPrEx>
          <w:tblCellMar>
            <w:top w:w="0" w:type="dxa"/>
            <w:left w:w="108" w:type="dxa"/>
            <w:bottom w:w="0" w:type="dxa"/>
            <w:right w:w="108" w:type="dxa"/>
          </w:tblCellMar>
        </w:tblPrEx>
        <w:trPr>
          <w:trHeight w:val="454" w:hRule="atLeast"/>
        </w:trPr>
        <w:tc>
          <w:tcPr>
            <w:tcW w:w="31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合计：</w:t>
            </w:r>
          </w:p>
        </w:tc>
        <w:tc>
          <w:tcPr>
            <w:tcW w:w="1816"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rPr>
            </w:pPr>
            <w:r>
              <w:rPr>
                <w:color w:val="000000"/>
                <w:kern w:val="0"/>
                <w:sz w:val="24"/>
              </w:rPr>
              <w:t>69920</w:t>
            </w:r>
          </w:p>
        </w:tc>
      </w:tr>
    </w:tbl>
    <w:p>
      <w:pPr>
        <w:overflowPunct w:val="0"/>
        <w:adjustRightInd w:val="0"/>
        <w:snapToGrid w:val="0"/>
        <w:spacing w:line="360" w:lineRule="auto"/>
        <w:jc w:val="left"/>
        <w:rPr>
          <w:snapToGrid w:val="0"/>
          <w:kern w:val="0"/>
          <w:sz w:val="24"/>
        </w:rPr>
      </w:pPr>
    </w:p>
    <w:p>
      <w:pPr>
        <w:widowControl/>
        <w:jc w:val="left"/>
        <w:rPr>
          <w:snapToGrid w:val="0"/>
          <w:kern w:val="0"/>
          <w:sz w:val="24"/>
        </w:rPr>
      </w:pPr>
    </w:p>
    <w:p>
      <w:pPr>
        <w:overflowPunct w:val="0"/>
        <w:adjustRightInd w:val="0"/>
        <w:snapToGrid w:val="0"/>
        <w:spacing w:line="360" w:lineRule="auto"/>
        <w:jc w:val="left"/>
        <w:rPr>
          <w:snapToGrid w:val="0"/>
          <w:kern w:val="0"/>
          <w:sz w:val="24"/>
        </w:rPr>
      </w:pPr>
      <w:r>
        <w:rPr>
          <w:rFonts w:hint="eastAsia"/>
          <w:snapToGrid w:val="0"/>
          <w:kern w:val="0"/>
          <w:sz w:val="24"/>
        </w:rPr>
        <w:t>附表二</w:t>
      </w:r>
      <w:r>
        <w:rPr>
          <w:snapToGrid w:val="0"/>
          <w:kern w:val="0"/>
          <w:sz w:val="24"/>
        </w:rPr>
        <w:t>-</w:t>
      </w:r>
      <w:r>
        <w:rPr>
          <w:rFonts w:hint="eastAsia"/>
          <w:snapToGrid w:val="0"/>
          <w:kern w:val="0"/>
          <w:sz w:val="24"/>
        </w:rPr>
        <w:t>1：</w:t>
      </w:r>
    </w:p>
    <w:p>
      <w:pPr>
        <w:overflowPunct w:val="0"/>
        <w:adjustRightInd w:val="0"/>
        <w:snapToGrid w:val="0"/>
        <w:jc w:val="center"/>
        <w:rPr>
          <w:b/>
          <w:bCs/>
          <w:snapToGrid w:val="0"/>
          <w:kern w:val="0"/>
          <w:sz w:val="36"/>
          <w:szCs w:val="36"/>
        </w:rPr>
      </w:pPr>
      <w:r>
        <w:rPr>
          <w:rFonts w:hint="eastAsia"/>
          <w:b/>
          <w:bCs/>
          <w:snapToGrid w:val="0"/>
          <w:kern w:val="0"/>
          <w:sz w:val="36"/>
          <w:szCs w:val="36"/>
        </w:rPr>
        <w:t>浙南产业集聚区政府性基金预算收入2019年执行</w:t>
      </w:r>
    </w:p>
    <w:p>
      <w:pPr>
        <w:overflowPunct w:val="0"/>
        <w:adjustRightInd w:val="0"/>
        <w:snapToGrid w:val="0"/>
        <w:jc w:val="center"/>
        <w:rPr>
          <w:b/>
          <w:bCs/>
          <w:snapToGrid w:val="0"/>
          <w:kern w:val="0"/>
          <w:sz w:val="36"/>
          <w:szCs w:val="36"/>
        </w:rPr>
      </w:pPr>
      <w:r>
        <w:rPr>
          <w:rFonts w:hint="eastAsia"/>
          <w:b/>
          <w:bCs/>
          <w:snapToGrid w:val="0"/>
          <w:kern w:val="0"/>
          <w:sz w:val="36"/>
          <w:szCs w:val="36"/>
        </w:rPr>
        <w:t>及2020年预算（草案）</w:t>
      </w:r>
    </w:p>
    <w:p>
      <w:pPr>
        <w:overflowPunct w:val="0"/>
        <w:adjustRightInd w:val="0"/>
        <w:snapToGrid w:val="0"/>
        <w:jc w:val="right"/>
        <w:rPr>
          <w:snapToGrid w:val="0"/>
          <w:kern w:val="0"/>
          <w:sz w:val="24"/>
        </w:rPr>
      </w:pPr>
      <w:r>
        <w:rPr>
          <w:rFonts w:hint="eastAsia"/>
          <w:snapToGrid w:val="0"/>
          <w:kern w:val="0"/>
          <w:sz w:val="24"/>
        </w:rPr>
        <w:t>单位：万元</w:t>
      </w:r>
    </w:p>
    <w:tbl>
      <w:tblPr>
        <w:tblStyle w:val="23"/>
        <w:tblW w:w="5013" w:type="pct"/>
        <w:tblInd w:w="-34" w:type="dxa"/>
        <w:tblLayout w:type="autofit"/>
        <w:tblCellMar>
          <w:top w:w="0" w:type="dxa"/>
          <w:left w:w="108" w:type="dxa"/>
          <w:bottom w:w="0" w:type="dxa"/>
          <w:right w:w="108" w:type="dxa"/>
        </w:tblCellMar>
      </w:tblPr>
      <w:tblGrid>
        <w:gridCol w:w="2305"/>
        <w:gridCol w:w="1477"/>
        <w:gridCol w:w="1154"/>
        <w:gridCol w:w="1095"/>
        <w:gridCol w:w="1093"/>
        <w:gridCol w:w="1093"/>
        <w:gridCol w:w="1093"/>
      </w:tblGrid>
      <w:tr>
        <w:tblPrEx>
          <w:tblCellMar>
            <w:top w:w="0" w:type="dxa"/>
            <w:left w:w="108" w:type="dxa"/>
            <w:bottom w:w="0" w:type="dxa"/>
            <w:right w:w="108" w:type="dxa"/>
          </w:tblCellMar>
        </w:tblPrEx>
        <w:trPr>
          <w:trHeight w:val="885" w:hRule="atLeast"/>
        </w:trPr>
        <w:tc>
          <w:tcPr>
            <w:tcW w:w="12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项目</w:t>
            </w:r>
          </w:p>
        </w:tc>
        <w:tc>
          <w:tcPr>
            <w:tcW w:w="79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
                <w:bCs/>
                <w:color w:val="000000"/>
                <w:kern w:val="0"/>
                <w:sz w:val="24"/>
              </w:rPr>
            </w:pPr>
            <w:r>
              <w:rPr>
                <w:rFonts w:ascii="宋体" w:hAnsi="宋体"/>
                <w:b/>
                <w:bCs/>
                <w:color w:val="000000"/>
                <w:kern w:val="0"/>
                <w:sz w:val="24"/>
              </w:rPr>
              <w:t>2019</w:t>
            </w:r>
            <w:r>
              <w:rPr>
                <w:rFonts w:hint="eastAsia" w:ascii="宋体" w:hAnsi="宋体"/>
                <w:b/>
                <w:bCs/>
                <w:color w:val="000000"/>
                <w:kern w:val="0"/>
                <w:sz w:val="24"/>
              </w:rPr>
              <w:t>年调整预算数</w:t>
            </w:r>
          </w:p>
        </w:tc>
        <w:tc>
          <w:tcPr>
            <w:tcW w:w="6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
                <w:bCs/>
                <w:color w:val="000000"/>
                <w:kern w:val="0"/>
                <w:sz w:val="24"/>
              </w:rPr>
            </w:pPr>
            <w:r>
              <w:rPr>
                <w:rFonts w:ascii="宋体" w:hAnsi="宋体"/>
                <w:b/>
                <w:bCs/>
                <w:color w:val="000000"/>
                <w:kern w:val="0"/>
                <w:sz w:val="24"/>
              </w:rPr>
              <w:t>2019</w:t>
            </w:r>
            <w:r>
              <w:rPr>
                <w:rFonts w:hint="eastAsia" w:ascii="宋体" w:hAnsi="宋体"/>
                <w:b/>
                <w:bCs/>
                <w:color w:val="000000"/>
                <w:kern w:val="0"/>
                <w:sz w:val="24"/>
              </w:rPr>
              <w:t>年执行数</w:t>
            </w:r>
          </w:p>
        </w:tc>
        <w:tc>
          <w:tcPr>
            <w:tcW w:w="58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完成预算%</w:t>
            </w:r>
          </w:p>
        </w:tc>
        <w:tc>
          <w:tcPr>
            <w:tcW w:w="58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同比</w:t>
            </w:r>
          </w:p>
          <w:p>
            <w:pPr>
              <w:widowControl/>
              <w:jc w:val="center"/>
              <w:rPr>
                <w:rFonts w:ascii="宋体" w:hAnsi="宋体" w:cs="宋体"/>
                <w:b/>
                <w:bCs/>
                <w:color w:val="000000"/>
                <w:kern w:val="0"/>
                <w:sz w:val="24"/>
              </w:rPr>
            </w:pPr>
            <w:r>
              <w:rPr>
                <w:rFonts w:hint="eastAsia" w:ascii="宋体" w:hAnsi="宋体" w:cs="宋体"/>
                <w:b/>
                <w:bCs/>
                <w:color w:val="000000"/>
                <w:kern w:val="0"/>
                <w:sz w:val="24"/>
              </w:rPr>
              <w:t>+、-%</w:t>
            </w:r>
          </w:p>
        </w:tc>
        <w:tc>
          <w:tcPr>
            <w:tcW w:w="58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
                <w:bCs/>
                <w:color w:val="000000"/>
                <w:kern w:val="0"/>
                <w:sz w:val="24"/>
              </w:rPr>
            </w:pPr>
            <w:r>
              <w:rPr>
                <w:rFonts w:ascii="宋体" w:hAnsi="宋体"/>
                <w:b/>
                <w:bCs/>
                <w:color w:val="000000"/>
                <w:kern w:val="0"/>
                <w:sz w:val="24"/>
              </w:rPr>
              <w:t>2020</w:t>
            </w:r>
            <w:r>
              <w:rPr>
                <w:rFonts w:hint="eastAsia" w:ascii="宋体" w:hAnsi="宋体"/>
                <w:b/>
                <w:bCs/>
                <w:color w:val="000000"/>
                <w:kern w:val="0"/>
                <w:sz w:val="24"/>
              </w:rPr>
              <w:t>年预算数</w:t>
            </w:r>
          </w:p>
        </w:tc>
        <w:tc>
          <w:tcPr>
            <w:tcW w:w="58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同比</w:t>
            </w:r>
          </w:p>
          <w:p>
            <w:pPr>
              <w:widowControl/>
              <w:jc w:val="center"/>
              <w:rPr>
                <w:rFonts w:ascii="宋体" w:hAnsi="宋体" w:cs="宋体"/>
                <w:b/>
                <w:bCs/>
                <w:color w:val="000000"/>
                <w:kern w:val="0"/>
                <w:sz w:val="24"/>
              </w:rPr>
            </w:pPr>
            <w:r>
              <w:rPr>
                <w:rFonts w:hint="eastAsia" w:ascii="宋体" w:hAnsi="宋体" w:cs="宋体"/>
                <w:b/>
                <w:bCs/>
                <w:color w:val="000000"/>
                <w:kern w:val="0"/>
                <w:sz w:val="24"/>
              </w:rPr>
              <w:t>+、-%</w:t>
            </w:r>
          </w:p>
        </w:tc>
      </w:tr>
      <w:tr>
        <w:tblPrEx>
          <w:tblCellMar>
            <w:top w:w="0" w:type="dxa"/>
            <w:left w:w="108" w:type="dxa"/>
            <w:bottom w:w="0" w:type="dxa"/>
            <w:right w:w="108" w:type="dxa"/>
          </w:tblCellMar>
        </w:tblPrEx>
        <w:trPr>
          <w:trHeight w:val="680" w:hRule="atLeast"/>
        </w:trPr>
        <w:tc>
          <w:tcPr>
            <w:tcW w:w="1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收入合计</w:t>
            </w:r>
          </w:p>
        </w:tc>
        <w:tc>
          <w:tcPr>
            <w:tcW w:w="7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bCs/>
                <w:color w:val="000000"/>
                <w:kern w:val="0"/>
                <w:sz w:val="24"/>
              </w:rPr>
            </w:pPr>
            <w:r>
              <w:rPr>
                <w:rFonts w:ascii="宋体" w:hAnsi="宋体"/>
                <w:bCs/>
                <w:color w:val="000000"/>
                <w:kern w:val="0"/>
                <w:sz w:val="24"/>
              </w:rPr>
              <w:t>2628966</w:t>
            </w:r>
          </w:p>
        </w:tc>
        <w:tc>
          <w:tcPr>
            <w:tcW w:w="6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bCs/>
                <w:color w:val="000000"/>
                <w:kern w:val="0"/>
                <w:sz w:val="24"/>
              </w:rPr>
            </w:pPr>
            <w:r>
              <w:rPr>
                <w:rFonts w:ascii="宋体" w:hAnsi="宋体"/>
                <w:bCs/>
                <w:color w:val="000000"/>
                <w:kern w:val="0"/>
                <w:sz w:val="24"/>
              </w:rPr>
              <w:t>2632266</w:t>
            </w:r>
          </w:p>
        </w:tc>
        <w:tc>
          <w:tcPr>
            <w:tcW w:w="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bCs/>
                <w:color w:val="000000"/>
                <w:kern w:val="0"/>
                <w:sz w:val="24"/>
              </w:rPr>
            </w:pPr>
            <w:r>
              <w:rPr>
                <w:rFonts w:ascii="宋体" w:hAnsi="宋体"/>
                <w:bCs/>
                <w:color w:val="000000"/>
                <w:kern w:val="0"/>
                <w:sz w:val="24"/>
              </w:rPr>
              <w:t xml:space="preserve">100.1 </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bCs/>
                <w:color w:val="000000"/>
                <w:kern w:val="0"/>
                <w:sz w:val="24"/>
              </w:rPr>
            </w:pPr>
            <w:r>
              <w:rPr>
                <w:rFonts w:ascii="宋体" w:hAnsi="宋体"/>
                <w:bCs/>
                <w:color w:val="000000"/>
                <w:kern w:val="0"/>
                <w:sz w:val="24"/>
              </w:rPr>
              <w:t xml:space="preserve">1104.0 </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bCs/>
                <w:color w:val="000000"/>
                <w:kern w:val="0"/>
                <w:sz w:val="24"/>
              </w:rPr>
            </w:pPr>
            <w:r>
              <w:rPr>
                <w:rFonts w:ascii="宋体" w:hAnsi="宋体"/>
                <w:bCs/>
                <w:color w:val="000000"/>
                <w:kern w:val="0"/>
                <w:sz w:val="24"/>
              </w:rPr>
              <w:t>269533</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bCs/>
                <w:color w:val="000000"/>
                <w:kern w:val="0"/>
                <w:sz w:val="24"/>
              </w:rPr>
            </w:pPr>
            <w:r>
              <w:rPr>
                <w:rFonts w:ascii="宋体" w:hAnsi="宋体"/>
                <w:bCs/>
                <w:color w:val="000000"/>
                <w:kern w:val="0"/>
                <w:sz w:val="24"/>
              </w:rPr>
              <w:t xml:space="preserve">-89.8 </w:t>
            </w:r>
          </w:p>
        </w:tc>
      </w:tr>
      <w:tr>
        <w:tblPrEx>
          <w:tblCellMar>
            <w:top w:w="0" w:type="dxa"/>
            <w:left w:w="108" w:type="dxa"/>
            <w:bottom w:w="0" w:type="dxa"/>
            <w:right w:w="108" w:type="dxa"/>
          </w:tblCellMar>
        </w:tblPrEx>
        <w:trPr>
          <w:trHeight w:val="680" w:hRule="atLeast"/>
        </w:trPr>
        <w:tc>
          <w:tcPr>
            <w:tcW w:w="1238"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一、国有土地使用权出让收入</w:t>
            </w:r>
          </w:p>
        </w:tc>
        <w:tc>
          <w:tcPr>
            <w:tcW w:w="7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98143 </w:t>
            </w:r>
          </w:p>
        </w:tc>
        <w:tc>
          <w:tcPr>
            <w:tcW w:w="6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98143 </w:t>
            </w:r>
          </w:p>
        </w:tc>
        <w:tc>
          <w:tcPr>
            <w:tcW w:w="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100.0 </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-33.8 </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263718 </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168.7 </w:t>
            </w:r>
          </w:p>
        </w:tc>
      </w:tr>
      <w:tr>
        <w:tblPrEx>
          <w:tblCellMar>
            <w:top w:w="0" w:type="dxa"/>
            <w:left w:w="108" w:type="dxa"/>
            <w:bottom w:w="0" w:type="dxa"/>
            <w:right w:w="108" w:type="dxa"/>
          </w:tblCellMar>
        </w:tblPrEx>
        <w:trPr>
          <w:trHeight w:val="680" w:hRule="atLeast"/>
        </w:trPr>
        <w:tc>
          <w:tcPr>
            <w:tcW w:w="1238"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二、彩票公益金收入</w:t>
            </w:r>
          </w:p>
        </w:tc>
        <w:tc>
          <w:tcPr>
            <w:tcW w:w="7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w:t>
            </w:r>
          </w:p>
        </w:tc>
        <w:tc>
          <w:tcPr>
            <w:tcW w:w="6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w:t>
            </w:r>
          </w:p>
        </w:tc>
        <w:tc>
          <w:tcPr>
            <w:tcW w:w="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300 </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r>
      <w:tr>
        <w:tblPrEx>
          <w:tblCellMar>
            <w:top w:w="0" w:type="dxa"/>
            <w:left w:w="108" w:type="dxa"/>
            <w:bottom w:w="0" w:type="dxa"/>
            <w:right w:w="108" w:type="dxa"/>
          </w:tblCellMar>
        </w:tblPrEx>
        <w:trPr>
          <w:trHeight w:val="680" w:hRule="atLeast"/>
        </w:trPr>
        <w:tc>
          <w:tcPr>
            <w:tcW w:w="1238"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三、城市基础设施配套费收入</w:t>
            </w:r>
          </w:p>
        </w:tc>
        <w:tc>
          <w:tcPr>
            <w:tcW w:w="7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3800 </w:t>
            </w:r>
          </w:p>
        </w:tc>
        <w:tc>
          <w:tcPr>
            <w:tcW w:w="6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3800 </w:t>
            </w:r>
          </w:p>
        </w:tc>
        <w:tc>
          <w:tcPr>
            <w:tcW w:w="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100.0 </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216.7 </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1000 </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-73.7 </w:t>
            </w:r>
          </w:p>
        </w:tc>
      </w:tr>
      <w:tr>
        <w:tblPrEx>
          <w:tblCellMar>
            <w:top w:w="0" w:type="dxa"/>
            <w:left w:w="108" w:type="dxa"/>
            <w:bottom w:w="0" w:type="dxa"/>
            <w:right w:w="108" w:type="dxa"/>
          </w:tblCellMar>
        </w:tblPrEx>
        <w:trPr>
          <w:trHeight w:val="680" w:hRule="atLeast"/>
        </w:trPr>
        <w:tc>
          <w:tcPr>
            <w:tcW w:w="1238"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四、污水处理费收入</w:t>
            </w:r>
          </w:p>
        </w:tc>
        <w:tc>
          <w:tcPr>
            <w:tcW w:w="7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18257 </w:t>
            </w:r>
          </w:p>
        </w:tc>
        <w:tc>
          <w:tcPr>
            <w:tcW w:w="6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18257 </w:t>
            </w:r>
          </w:p>
        </w:tc>
        <w:tc>
          <w:tcPr>
            <w:tcW w:w="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100.0 </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4000 </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-78.1 </w:t>
            </w:r>
          </w:p>
        </w:tc>
      </w:tr>
      <w:tr>
        <w:tblPrEx>
          <w:tblCellMar>
            <w:top w:w="0" w:type="dxa"/>
            <w:left w:w="108" w:type="dxa"/>
            <w:bottom w:w="0" w:type="dxa"/>
            <w:right w:w="108" w:type="dxa"/>
          </w:tblCellMar>
        </w:tblPrEx>
        <w:trPr>
          <w:trHeight w:val="680" w:hRule="atLeast"/>
        </w:trPr>
        <w:tc>
          <w:tcPr>
            <w:tcW w:w="1238"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五、彩票发行机构和彩票销售机构的业务费用</w:t>
            </w:r>
          </w:p>
        </w:tc>
        <w:tc>
          <w:tcPr>
            <w:tcW w:w="7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w:t>
            </w:r>
          </w:p>
        </w:tc>
        <w:tc>
          <w:tcPr>
            <w:tcW w:w="6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w:t>
            </w:r>
          </w:p>
        </w:tc>
        <w:tc>
          <w:tcPr>
            <w:tcW w:w="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115 </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r>
      <w:tr>
        <w:tblPrEx>
          <w:tblCellMar>
            <w:top w:w="0" w:type="dxa"/>
            <w:left w:w="108" w:type="dxa"/>
            <w:bottom w:w="0" w:type="dxa"/>
            <w:right w:w="108" w:type="dxa"/>
          </w:tblCellMar>
        </w:tblPrEx>
        <w:trPr>
          <w:trHeight w:val="680" w:hRule="atLeast"/>
        </w:trPr>
        <w:tc>
          <w:tcPr>
            <w:tcW w:w="1238"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六、其他政府性基金收入</w:t>
            </w:r>
          </w:p>
        </w:tc>
        <w:tc>
          <w:tcPr>
            <w:tcW w:w="7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2508766 </w:t>
            </w:r>
          </w:p>
        </w:tc>
        <w:tc>
          <w:tcPr>
            <w:tcW w:w="6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2512066 </w:t>
            </w:r>
          </w:p>
        </w:tc>
        <w:tc>
          <w:tcPr>
            <w:tcW w:w="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100.1 </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3533.4 </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400 </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-100.0 </w:t>
            </w:r>
          </w:p>
        </w:tc>
      </w:tr>
    </w:tbl>
    <w:p>
      <w:pPr>
        <w:overflowPunct w:val="0"/>
        <w:adjustRightInd w:val="0"/>
        <w:snapToGrid w:val="0"/>
        <w:spacing w:line="360" w:lineRule="auto"/>
        <w:jc w:val="left"/>
        <w:rPr>
          <w:rFonts w:ascii="宋体" w:hAnsi="宋体"/>
          <w:bCs/>
          <w:snapToGrid w:val="0"/>
          <w:kern w:val="0"/>
          <w:sz w:val="24"/>
        </w:rPr>
      </w:pPr>
    </w:p>
    <w:p>
      <w:pPr>
        <w:widowControl/>
        <w:jc w:val="left"/>
        <w:rPr>
          <w:rFonts w:ascii="宋体" w:hAnsi="宋体"/>
          <w:bCs/>
          <w:snapToGrid w:val="0"/>
          <w:kern w:val="0"/>
          <w:sz w:val="24"/>
        </w:rPr>
      </w:pPr>
      <w:r>
        <w:rPr>
          <w:rFonts w:ascii="宋体" w:hAnsi="宋体"/>
          <w:bCs/>
          <w:snapToGrid w:val="0"/>
          <w:kern w:val="0"/>
          <w:sz w:val="24"/>
        </w:rPr>
        <w:br w:type="page"/>
      </w:r>
    </w:p>
    <w:p>
      <w:pPr>
        <w:overflowPunct w:val="0"/>
        <w:adjustRightInd w:val="0"/>
        <w:snapToGrid w:val="0"/>
        <w:spacing w:line="360" w:lineRule="auto"/>
        <w:jc w:val="left"/>
        <w:rPr>
          <w:snapToGrid w:val="0"/>
          <w:kern w:val="0"/>
          <w:sz w:val="24"/>
        </w:rPr>
      </w:pPr>
      <w:r>
        <w:rPr>
          <w:rFonts w:hint="eastAsia"/>
          <w:snapToGrid w:val="0"/>
          <w:kern w:val="0"/>
          <w:sz w:val="24"/>
        </w:rPr>
        <w:t>附表二</w:t>
      </w:r>
      <w:r>
        <w:rPr>
          <w:snapToGrid w:val="0"/>
          <w:kern w:val="0"/>
          <w:sz w:val="24"/>
        </w:rPr>
        <w:t>-</w:t>
      </w:r>
      <w:r>
        <w:rPr>
          <w:rFonts w:hint="eastAsia"/>
          <w:snapToGrid w:val="0"/>
          <w:kern w:val="0"/>
          <w:sz w:val="24"/>
        </w:rPr>
        <w:t>2：</w:t>
      </w:r>
    </w:p>
    <w:p>
      <w:pPr>
        <w:overflowPunct w:val="0"/>
        <w:adjustRightInd w:val="0"/>
        <w:snapToGrid w:val="0"/>
        <w:jc w:val="center"/>
        <w:rPr>
          <w:b/>
          <w:bCs/>
          <w:snapToGrid w:val="0"/>
          <w:kern w:val="0"/>
          <w:sz w:val="36"/>
          <w:szCs w:val="36"/>
        </w:rPr>
      </w:pPr>
      <w:r>
        <w:rPr>
          <w:rFonts w:hint="eastAsia"/>
          <w:b/>
          <w:bCs/>
          <w:snapToGrid w:val="0"/>
          <w:kern w:val="0"/>
          <w:sz w:val="36"/>
          <w:szCs w:val="36"/>
        </w:rPr>
        <w:t>浙南产业集聚区政府性基金预算支出2019年执行</w:t>
      </w:r>
    </w:p>
    <w:p>
      <w:pPr>
        <w:overflowPunct w:val="0"/>
        <w:adjustRightInd w:val="0"/>
        <w:snapToGrid w:val="0"/>
        <w:jc w:val="center"/>
        <w:rPr>
          <w:b/>
          <w:bCs/>
          <w:snapToGrid w:val="0"/>
          <w:kern w:val="0"/>
          <w:sz w:val="36"/>
          <w:szCs w:val="36"/>
        </w:rPr>
      </w:pPr>
      <w:r>
        <w:rPr>
          <w:rFonts w:hint="eastAsia"/>
          <w:b/>
          <w:bCs/>
          <w:snapToGrid w:val="0"/>
          <w:kern w:val="0"/>
          <w:sz w:val="36"/>
          <w:szCs w:val="36"/>
        </w:rPr>
        <w:t>及2020年预算（草案）</w:t>
      </w:r>
    </w:p>
    <w:p>
      <w:pPr>
        <w:overflowPunct w:val="0"/>
        <w:adjustRightInd w:val="0"/>
        <w:snapToGrid w:val="0"/>
        <w:jc w:val="right"/>
        <w:rPr>
          <w:snapToGrid w:val="0"/>
          <w:kern w:val="0"/>
          <w:sz w:val="24"/>
        </w:rPr>
      </w:pPr>
      <w:r>
        <w:rPr>
          <w:rFonts w:hint="eastAsia"/>
          <w:snapToGrid w:val="0"/>
          <w:kern w:val="0"/>
          <w:sz w:val="24"/>
        </w:rPr>
        <w:t>单位：万元</w:t>
      </w:r>
    </w:p>
    <w:tbl>
      <w:tblPr>
        <w:tblW w:w="9233" w:type="dxa"/>
        <w:tblInd w:w="0" w:type="dxa"/>
        <w:shd w:val="clear"/>
        <w:tblLayout w:type="fixed"/>
        <w:tblCellMar>
          <w:top w:w="0" w:type="dxa"/>
          <w:left w:w="0" w:type="dxa"/>
          <w:bottom w:w="0" w:type="dxa"/>
          <w:right w:w="0" w:type="dxa"/>
        </w:tblCellMar>
      </w:tblPr>
      <w:tblGrid>
        <w:gridCol w:w="4045"/>
        <w:gridCol w:w="1075"/>
        <w:gridCol w:w="1013"/>
        <w:gridCol w:w="787"/>
        <w:gridCol w:w="725"/>
        <w:gridCol w:w="849"/>
        <w:gridCol w:w="739"/>
      </w:tblGrid>
      <w:tr>
        <w:tblPrEx>
          <w:tblCellMar>
            <w:top w:w="0" w:type="dxa"/>
            <w:left w:w="0" w:type="dxa"/>
            <w:bottom w:w="0" w:type="dxa"/>
            <w:right w:w="0" w:type="dxa"/>
          </w:tblCellMar>
        </w:tblPrEx>
        <w:trPr>
          <w:trHeight w:val="567" w:hRule="atLeast"/>
          <w:tblHeader/>
        </w:trPr>
        <w:tc>
          <w:tcPr>
            <w:tcW w:w="4045" w:type="dxa"/>
            <w:tcBorders>
              <w:top w:val="single" w:color="000000" w:sz="8" w:space="0"/>
              <w:left w:val="single" w:color="000000" w:sz="8" w:space="0"/>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项目</w:t>
            </w:r>
          </w:p>
        </w:tc>
        <w:tc>
          <w:tcPr>
            <w:tcW w:w="1075" w:type="dxa"/>
            <w:tcBorders>
              <w:top w:val="single" w:color="000000" w:sz="8" w:space="0"/>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bdr w:val="none" w:color="auto" w:sz="0" w:space="0"/>
                <w:lang w:val="en-US" w:eastAsia="zh-CN" w:bidi="ar"/>
              </w:rPr>
              <w:t>2019</w:t>
            </w:r>
            <w:r>
              <w:rPr>
                <w:rFonts w:hint="eastAsia" w:ascii="宋体" w:hAnsi="宋体" w:eastAsia="宋体" w:cs="宋体"/>
                <w:b/>
                <w:i w:val="0"/>
                <w:color w:val="000000"/>
                <w:kern w:val="0"/>
                <w:sz w:val="24"/>
                <w:szCs w:val="24"/>
                <w:u w:val="none"/>
                <w:bdr w:val="none" w:color="auto" w:sz="0" w:space="0"/>
                <w:lang w:val="en-US" w:eastAsia="zh-CN" w:bidi="ar"/>
              </w:rPr>
              <w:t>年调整预算数</w:t>
            </w:r>
          </w:p>
        </w:tc>
        <w:tc>
          <w:tcPr>
            <w:tcW w:w="1013" w:type="dxa"/>
            <w:tcBorders>
              <w:top w:val="single" w:color="000000" w:sz="8" w:space="0"/>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bdr w:val="none" w:color="auto" w:sz="0" w:space="0"/>
                <w:lang w:val="en-US" w:eastAsia="zh-CN" w:bidi="ar"/>
              </w:rPr>
              <w:t>2019</w:t>
            </w:r>
            <w:r>
              <w:rPr>
                <w:rFonts w:hint="eastAsia" w:ascii="宋体" w:hAnsi="宋体" w:eastAsia="宋体" w:cs="宋体"/>
                <w:b/>
                <w:i w:val="0"/>
                <w:color w:val="000000"/>
                <w:kern w:val="0"/>
                <w:sz w:val="24"/>
                <w:szCs w:val="24"/>
                <w:u w:val="none"/>
                <w:bdr w:val="none" w:color="auto" w:sz="0" w:space="0"/>
                <w:lang w:val="en-US" w:eastAsia="zh-CN" w:bidi="ar"/>
              </w:rPr>
              <w:t>年执行数</w:t>
            </w:r>
          </w:p>
        </w:tc>
        <w:tc>
          <w:tcPr>
            <w:tcW w:w="787" w:type="dxa"/>
            <w:tcBorders>
              <w:top w:val="single" w:color="000000" w:sz="8" w:space="0"/>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完成预算%</w:t>
            </w:r>
          </w:p>
        </w:tc>
        <w:tc>
          <w:tcPr>
            <w:tcW w:w="725" w:type="dxa"/>
            <w:tcBorders>
              <w:top w:val="single" w:color="000000" w:sz="8" w:space="0"/>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同比+、-%</w:t>
            </w:r>
          </w:p>
        </w:tc>
        <w:tc>
          <w:tcPr>
            <w:tcW w:w="849" w:type="dxa"/>
            <w:tcBorders>
              <w:top w:val="single" w:color="000000" w:sz="8" w:space="0"/>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bdr w:val="none" w:color="auto" w:sz="0" w:space="0"/>
                <w:lang w:val="en-US" w:eastAsia="zh-CN" w:bidi="ar"/>
              </w:rPr>
              <w:t>2020</w:t>
            </w:r>
            <w:r>
              <w:rPr>
                <w:rFonts w:hint="eastAsia" w:ascii="宋体" w:hAnsi="宋体" w:eastAsia="宋体" w:cs="宋体"/>
                <w:b/>
                <w:i w:val="0"/>
                <w:color w:val="000000"/>
                <w:kern w:val="0"/>
                <w:sz w:val="24"/>
                <w:szCs w:val="24"/>
                <w:u w:val="none"/>
                <w:bdr w:val="none" w:color="auto" w:sz="0" w:space="0"/>
                <w:lang w:val="en-US" w:eastAsia="zh-CN" w:bidi="ar"/>
              </w:rPr>
              <w:t>年预算数</w:t>
            </w:r>
          </w:p>
        </w:tc>
        <w:tc>
          <w:tcPr>
            <w:tcW w:w="739" w:type="dxa"/>
            <w:tcBorders>
              <w:top w:val="single" w:color="000000" w:sz="8" w:space="0"/>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同比+、-%</w:t>
            </w:r>
          </w:p>
        </w:tc>
      </w:tr>
      <w:tr>
        <w:tblPrEx>
          <w:shd w:val="clear"/>
          <w:tblCellMar>
            <w:top w:w="0" w:type="dxa"/>
            <w:left w:w="0" w:type="dxa"/>
            <w:bottom w:w="0" w:type="dxa"/>
            <w:right w:w="0" w:type="dxa"/>
          </w:tblCellMar>
        </w:tblPrEx>
        <w:trPr>
          <w:trHeight w:val="567" w:hRule="atLeast"/>
        </w:trPr>
        <w:tc>
          <w:tcPr>
            <w:tcW w:w="4045" w:type="dxa"/>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支出合计</w:t>
            </w:r>
          </w:p>
        </w:tc>
        <w:tc>
          <w:tcPr>
            <w:tcW w:w="1075"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bdr w:val="none" w:color="auto" w:sz="0" w:space="0"/>
                <w:lang w:val="en-US" w:eastAsia="zh-CN" w:bidi="ar"/>
              </w:rPr>
              <w:t>2697254</w:t>
            </w:r>
          </w:p>
        </w:tc>
        <w:tc>
          <w:tcPr>
            <w:tcW w:w="1013"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bdr w:val="none" w:color="auto" w:sz="0" w:space="0"/>
                <w:lang w:val="en-US" w:eastAsia="zh-CN" w:bidi="ar"/>
              </w:rPr>
              <w:t>2706367</w:t>
            </w:r>
          </w:p>
        </w:tc>
        <w:tc>
          <w:tcPr>
            <w:tcW w:w="787"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bdr w:val="none" w:color="auto" w:sz="0" w:space="0"/>
                <w:lang w:val="en-US" w:eastAsia="zh-CN" w:bidi="ar"/>
              </w:rPr>
              <w:t>100.3</w:t>
            </w:r>
          </w:p>
        </w:tc>
        <w:tc>
          <w:tcPr>
            <w:tcW w:w="725"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bdr w:val="none" w:color="auto" w:sz="0" w:space="0"/>
                <w:lang w:val="en-US" w:eastAsia="zh-CN" w:bidi="ar"/>
              </w:rPr>
              <w:t>1005.3</w:t>
            </w:r>
          </w:p>
        </w:tc>
        <w:tc>
          <w:tcPr>
            <w:tcW w:w="849"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bdr w:val="none" w:color="auto" w:sz="0" w:space="0"/>
                <w:lang w:val="en-US" w:eastAsia="zh-CN" w:bidi="ar"/>
              </w:rPr>
              <w:t>301198</w:t>
            </w:r>
          </w:p>
        </w:tc>
        <w:tc>
          <w:tcPr>
            <w:tcW w:w="739"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bdr w:val="none" w:color="auto" w:sz="0" w:space="0"/>
                <w:lang w:val="en-US" w:eastAsia="zh-CN" w:bidi="ar"/>
              </w:rPr>
              <w:t>-88.9</w:t>
            </w:r>
          </w:p>
        </w:tc>
      </w:tr>
      <w:tr>
        <w:tblPrEx>
          <w:shd w:val="clear"/>
          <w:tblCellMar>
            <w:top w:w="0" w:type="dxa"/>
            <w:left w:w="0" w:type="dxa"/>
            <w:bottom w:w="0" w:type="dxa"/>
            <w:right w:w="0" w:type="dxa"/>
          </w:tblCellMar>
        </w:tblPrEx>
        <w:trPr>
          <w:trHeight w:val="567" w:hRule="atLeast"/>
        </w:trPr>
        <w:tc>
          <w:tcPr>
            <w:tcW w:w="4045"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一、社会保障和就业支出</w:t>
            </w:r>
          </w:p>
        </w:tc>
        <w:tc>
          <w:tcPr>
            <w:tcW w:w="1075"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175</w:t>
            </w:r>
          </w:p>
        </w:tc>
        <w:tc>
          <w:tcPr>
            <w:tcW w:w="101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175</w:t>
            </w:r>
          </w:p>
        </w:tc>
        <w:tc>
          <w:tcPr>
            <w:tcW w:w="787"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w:t>
            </w:r>
          </w:p>
        </w:tc>
        <w:tc>
          <w:tcPr>
            <w:tcW w:w="725"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18.2</w:t>
            </w:r>
          </w:p>
        </w:tc>
        <w:tc>
          <w:tcPr>
            <w:tcW w:w="849"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150</w:t>
            </w:r>
          </w:p>
        </w:tc>
        <w:tc>
          <w:tcPr>
            <w:tcW w:w="739"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-14.3</w:t>
            </w:r>
          </w:p>
        </w:tc>
      </w:tr>
      <w:tr>
        <w:tblPrEx>
          <w:shd w:val="clear"/>
          <w:tblCellMar>
            <w:top w:w="0" w:type="dxa"/>
            <w:left w:w="0" w:type="dxa"/>
            <w:bottom w:w="0" w:type="dxa"/>
            <w:right w:w="0" w:type="dxa"/>
          </w:tblCellMar>
        </w:tblPrEx>
        <w:trPr>
          <w:trHeight w:val="567" w:hRule="atLeast"/>
        </w:trPr>
        <w:tc>
          <w:tcPr>
            <w:tcW w:w="4045"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　大中型水库移民后期扶持基金支出</w:t>
            </w:r>
          </w:p>
        </w:tc>
        <w:tc>
          <w:tcPr>
            <w:tcW w:w="1075"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175</w:t>
            </w:r>
          </w:p>
        </w:tc>
        <w:tc>
          <w:tcPr>
            <w:tcW w:w="101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175</w:t>
            </w:r>
          </w:p>
        </w:tc>
        <w:tc>
          <w:tcPr>
            <w:tcW w:w="787"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25"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49"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150</w:t>
            </w:r>
          </w:p>
        </w:tc>
        <w:tc>
          <w:tcPr>
            <w:tcW w:w="739"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567" w:hRule="atLeast"/>
        </w:trPr>
        <w:tc>
          <w:tcPr>
            <w:tcW w:w="4045"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ind w:firstLineChars="10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 xml:space="preserve">    移民补助</w:t>
            </w:r>
          </w:p>
        </w:tc>
        <w:tc>
          <w:tcPr>
            <w:tcW w:w="1075"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114</w:t>
            </w:r>
          </w:p>
        </w:tc>
        <w:tc>
          <w:tcPr>
            <w:tcW w:w="101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114</w:t>
            </w:r>
          </w:p>
        </w:tc>
        <w:tc>
          <w:tcPr>
            <w:tcW w:w="787"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25"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49"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115</w:t>
            </w:r>
          </w:p>
        </w:tc>
        <w:tc>
          <w:tcPr>
            <w:tcW w:w="739"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567" w:hRule="atLeast"/>
        </w:trPr>
        <w:tc>
          <w:tcPr>
            <w:tcW w:w="4045"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ind w:firstLineChars="10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 xml:space="preserve">    基础设施建设和经济发展</w:t>
            </w:r>
          </w:p>
        </w:tc>
        <w:tc>
          <w:tcPr>
            <w:tcW w:w="1075"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61</w:t>
            </w:r>
          </w:p>
        </w:tc>
        <w:tc>
          <w:tcPr>
            <w:tcW w:w="1013"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61</w:t>
            </w:r>
          </w:p>
        </w:tc>
        <w:tc>
          <w:tcPr>
            <w:tcW w:w="787"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25"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49"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35</w:t>
            </w:r>
          </w:p>
        </w:tc>
        <w:tc>
          <w:tcPr>
            <w:tcW w:w="739"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567" w:hRule="atLeast"/>
        </w:trPr>
        <w:tc>
          <w:tcPr>
            <w:tcW w:w="4045"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ind w:firstLineChars="10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二、城乡社区支出</w:t>
            </w:r>
          </w:p>
        </w:tc>
        <w:tc>
          <w:tcPr>
            <w:tcW w:w="1075"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122627</w:t>
            </w:r>
          </w:p>
        </w:tc>
        <w:tc>
          <w:tcPr>
            <w:tcW w:w="1013"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122751</w:t>
            </w:r>
          </w:p>
        </w:tc>
        <w:tc>
          <w:tcPr>
            <w:tcW w:w="787"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100.1</w:t>
            </w:r>
          </w:p>
        </w:tc>
        <w:tc>
          <w:tcPr>
            <w:tcW w:w="725"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w:t>
            </w:r>
          </w:p>
        </w:tc>
        <w:tc>
          <w:tcPr>
            <w:tcW w:w="849"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269447</w:t>
            </w:r>
          </w:p>
        </w:tc>
        <w:tc>
          <w:tcPr>
            <w:tcW w:w="739"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119.5</w:t>
            </w:r>
          </w:p>
        </w:tc>
      </w:tr>
      <w:tr>
        <w:tblPrEx>
          <w:shd w:val="clear"/>
          <w:tblCellMar>
            <w:top w:w="0" w:type="dxa"/>
            <w:left w:w="0" w:type="dxa"/>
            <w:bottom w:w="0" w:type="dxa"/>
            <w:right w:w="0" w:type="dxa"/>
          </w:tblCellMar>
        </w:tblPrEx>
        <w:trPr>
          <w:trHeight w:val="567" w:hRule="atLeast"/>
        </w:trPr>
        <w:tc>
          <w:tcPr>
            <w:tcW w:w="4045"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ind w:firstLineChars="10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　国有土地使用权出让收入安排的支出</w:t>
            </w:r>
          </w:p>
        </w:tc>
        <w:tc>
          <w:tcPr>
            <w:tcW w:w="1075"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100530</w:t>
            </w:r>
          </w:p>
        </w:tc>
        <w:tc>
          <w:tcPr>
            <w:tcW w:w="1013"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101101</w:t>
            </w:r>
          </w:p>
        </w:tc>
        <w:tc>
          <w:tcPr>
            <w:tcW w:w="787"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25"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49"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264000</w:t>
            </w:r>
          </w:p>
        </w:tc>
        <w:tc>
          <w:tcPr>
            <w:tcW w:w="739"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67" w:hRule="atLeast"/>
        </w:trPr>
        <w:tc>
          <w:tcPr>
            <w:tcW w:w="4045"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ind w:firstLineChars="10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 xml:space="preserve">    征地和拆迁补偿支出</w:t>
            </w:r>
          </w:p>
        </w:tc>
        <w:tc>
          <w:tcPr>
            <w:tcW w:w="1075"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10150</w:t>
            </w:r>
          </w:p>
        </w:tc>
        <w:tc>
          <w:tcPr>
            <w:tcW w:w="1013"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10145</w:t>
            </w:r>
          </w:p>
        </w:tc>
        <w:tc>
          <w:tcPr>
            <w:tcW w:w="787"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25"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49"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10000</w:t>
            </w:r>
          </w:p>
        </w:tc>
        <w:tc>
          <w:tcPr>
            <w:tcW w:w="739"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567" w:hRule="atLeast"/>
        </w:trPr>
        <w:tc>
          <w:tcPr>
            <w:tcW w:w="4045"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ind w:firstLineChars="10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 xml:space="preserve">    土地开发支出</w:t>
            </w:r>
          </w:p>
        </w:tc>
        <w:tc>
          <w:tcPr>
            <w:tcW w:w="1075"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87950</w:t>
            </w:r>
          </w:p>
        </w:tc>
        <w:tc>
          <w:tcPr>
            <w:tcW w:w="1013"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87949</w:t>
            </w:r>
          </w:p>
        </w:tc>
        <w:tc>
          <w:tcPr>
            <w:tcW w:w="787"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25"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49"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252000</w:t>
            </w:r>
          </w:p>
        </w:tc>
        <w:tc>
          <w:tcPr>
            <w:tcW w:w="739"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567" w:hRule="atLeast"/>
        </w:trPr>
        <w:tc>
          <w:tcPr>
            <w:tcW w:w="4045"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ind w:firstLineChars="10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 xml:space="preserve">    土地出让业务支出</w:t>
            </w:r>
          </w:p>
        </w:tc>
        <w:tc>
          <w:tcPr>
            <w:tcW w:w="1075"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50</w:t>
            </w:r>
          </w:p>
        </w:tc>
        <w:tc>
          <w:tcPr>
            <w:tcW w:w="1013"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49</w:t>
            </w:r>
          </w:p>
        </w:tc>
        <w:tc>
          <w:tcPr>
            <w:tcW w:w="787"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25"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49" w:type="dxa"/>
            <w:tcBorders>
              <w:top w:val="nil"/>
              <w:left w:val="nil"/>
              <w:bottom w:val="single" w:color="000000" w:sz="8" w:space="0"/>
              <w:right w:val="single" w:color="000000" w:sz="8"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39"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567" w:hRule="atLeast"/>
        </w:trPr>
        <w:tc>
          <w:tcPr>
            <w:tcW w:w="4045"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ind w:firstLineChars="10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 xml:space="preserve"> </w:t>
            </w:r>
            <w:r>
              <w:rPr>
                <w:rFonts w:hint="eastAsia" w:cs="Times New Roman"/>
                <w:i w:val="0"/>
                <w:color w:val="000000"/>
                <w:kern w:val="0"/>
                <w:sz w:val="22"/>
                <w:szCs w:val="22"/>
                <w:u w:val="none"/>
                <w:bdr w:val="none" w:color="auto" w:sz="0" w:space="0"/>
                <w:lang w:val="en-US" w:eastAsia="zh-CN" w:bidi="ar"/>
              </w:rPr>
              <w:t xml:space="preserve">   </w:t>
            </w:r>
            <w:r>
              <w:rPr>
                <w:rFonts w:hint="default" w:ascii="Times New Roman" w:hAnsi="Times New Roman" w:eastAsia="宋体" w:cs="Times New Roman"/>
                <w:i w:val="0"/>
                <w:color w:val="000000"/>
                <w:kern w:val="0"/>
                <w:sz w:val="22"/>
                <w:szCs w:val="22"/>
                <w:u w:val="none"/>
                <w:bdr w:val="none" w:color="auto" w:sz="0" w:space="0"/>
                <w:lang w:val="en-US" w:eastAsia="zh-CN" w:bidi="ar"/>
              </w:rPr>
              <w:t>其他国有土地使用权出让收入安排的支出</w:t>
            </w:r>
          </w:p>
        </w:tc>
        <w:tc>
          <w:tcPr>
            <w:tcW w:w="1075"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2380</w:t>
            </w:r>
          </w:p>
        </w:tc>
        <w:tc>
          <w:tcPr>
            <w:tcW w:w="1013"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2958</w:t>
            </w:r>
          </w:p>
        </w:tc>
        <w:tc>
          <w:tcPr>
            <w:tcW w:w="787"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25"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49"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2000</w:t>
            </w:r>
          </w:p>
        </w:tc>
        <w:tc>
          <w:tcPr>
            <w:tcW w:w="739"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67" w:hRule="atLeast"/>
        </w:trPr>
        <w:tc>
          <w:tcPr>
            <w:tcW w:w="4045"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ind w:firstLineChars="10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　城市基础设施配套费安排的支出</w:t>
            </w:r>
          </w:p>
        </w:tc>
        <w:tc>
          <w:tcPr>
            <w:tcW w:w="1075"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3840</w:t>
            </w:r>
          </w:p>
        </w:tc>
        <w:tc>
          <w:tcPr>
            <w:tcW w:w="1013"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3393</w:t>
            </w:r>
          </w:p>
        </w:tc>
        <w:tc>
          <w:tcPr>
            <w:tcW w:w="787"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25"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49"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1447</w:t>
            </w:r>
          </w:p>
        </w:tc>
        <w:tc>
          <w:tcPr>
            <w:tcW w:w="739"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567" w:hRule="atLeast"/>
        </w:trPr>
        <w:tc>
          <w:tcPr>
            <w:tcW w:w="4045"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ind w:firstLine="880" w:firstLineChars="40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城市公共设施</w:t>
            </w:r>
          </w:p>
        </w:tc>
        <w:tc>
          <w:tcPr>
            <w:tcW w:w="1075"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3840</w:t>
            </w:r>
          </w:p>
        </w:tc>
        <w:tc>
          <w:tcPr>
            <w:tcW w:w="1013"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3393</w:t>
            </w:r>
          </w:p>
        </w:tc>
        <w:tc>
          <w:tcPr>
            <w:tcW w:w="787"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25"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49"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1447</w:t>
            </w:r>
          </w:p>
        </w:tc>
        <w:tc>
          <w:tcPr>
            <w:tcW w:w="739"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67" w:hRule="atLeast"/>
        </w:trPr>
        <w:tc>
          <w:tcPr>
            <w:tcW w:w="4045"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ind w:firstLine="440" w:firstLineChars="20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污水处理费安排的支出</w:t>
            </w:r>
          </w:p>
        </w:tc>
        <w:tc>
          <w:tcPr>
            <w:tcW w:w="1075"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18257</w:t>
            </w:r>
          </w:p>
        </w:tc>
        <w:tc>
          <w:tcPr>
            <w:tcW w:w="1013"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18257</w:t>
            </w:r>
          </w:p>
        </w:tc>
        <w:tc>
          <w:tcPr>
            <w:tcW w:w="787"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25"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49"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4000</w:t>
            </w:r>
          </w:p>
        </w:tc>
        <w:tc>
          <w:tcPr>
            <w:tcW w:w="739"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67" w:hRule="atLeast"/>
        </w:trPr>
        <w:tc>
          <w:tcPr>
            <w:tcW w:w="4045"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ind w:firstLineChars="10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 xml:space="preserve">    污水处理设施建设和运营</w:t>
            </w:r>
          </w:p>
        </w:tc>
        <w:tc>
          <w:tcPr>
            <w:tcW w:w="1075"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18257</w:t>
            </w:r>
          </w:p>
        </w:tc>
        <w:tc>
          <w:tcPr>
            <w:tcW w:w="1013"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18257</w:t>
            </w:r>
          </w:p>
        </w:tc>
        <w:tc>
          <w:tcPr>
            <w:tcW w:w="787"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25"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49"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4000</w:t>
            </w:r>
          </w:p>
        </w:tc>
        <w:tc>
          <w:tcPr>
            <w:tcW w:w="739"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567" w:hRule="atLeast"/>
        </w:trPr>
        <w:tc>
          <w:tcPr>
            <w:tcW w:w="4045"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ind w:firstLineChars="10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三、其他支出</w:t>
            </w:r>
          </w:p>
        </w:tc>
        <w:tc>
          <w:tcPr>
            <w:tcW w:w="1075"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2573150</w:t>
            </w:r>
          </w:p>
        </w:tc>
        <w:tc>
          <w:tcPr>
            <w:tcW w:w="1013"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2582135</w:t>
            </w:r>
          </w:p>
        </w:tc>
        <w:tc>
          <w:tcPr>
            <w:tcW w:w="787"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100.3</w:t>
            </w:r>
          </w:p>
        </w:tc>
        <w:tc>
          <w:tcPr>
            <w:tcW w:w="725"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2658.1</w:t>
            </w:r>
          </w:p>
        </w:tc>
        <w:tc>
          <w:tcPr>
            <w:tcW w:w="849"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30300</w:t>
            </w:r>
          </w:p>
        </w:tc>
        <w:tc>
          <w:tcPr>
            <w:tcW w:w="739"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-98.8</w:t>
            </w:r>
          </w:p>
        </w:tc>
      </w:tr>
      <w:tr>
        <w:tblPrEx>
          <w:tblCellMar>
            <w:top w:w="0" w:type="dxa"/>
            <w:left w:w="0" w:type="dxa"/>
            <w:bottom w:w="0" w:type="dxa"/>
            <w:right w:w="0" w:type="dxa"/>
          </w:tblCellMar>
        </w:tblPrEx>
        <w:trPr>
          <w:trHeight w:val="567" w:hRule="atLeast"/>
        </w:trPr>
        <w:tc>
          <w:tcPr>
            <w:tcW w:w="4045"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ind w:firstLineChars="10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　其他政府性基金及对应专项债务收入安排的支出</w:t>
            </w:r>
          </w:p>
        </w:tc>
        <w:tc>
          <w:tcPr>
            <w:tcW w:w="1075"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2573000</w:t>
            </w:r>
          </w:p>
        </w:tc>
        <w:tc>
          <w:tcPr>
            <w:tcW w:w="1013"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2581984</w:t>
            </w:r>
          </w:p>
        </w:tc>
        <w:tc>
          <w:tcPr>
            <w:tcW w:w="787"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25"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49"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30000</w:t>
            </w:r>
          </w:p>
        </w:tc>
        <w:tc>
          <w:tcPr>
            <w:tcW w:w="739"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567" w:hRule="atLeast"/>
        </w:trPr>
        <w:tc>
          <w:tcPr>
            <w:tcW w:w="4045"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ind w:firstLine="880" w:firstLineChars="40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其他政府性基金安排的支出</w:t>
            </w:r>
          </w:p>
        </w:tc>
        <w:tc>
          <w:tcPr>
            <w:tcW w:w="1075"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2573000</w:t>
            </w:r>
          </w:p>
        </w:tc>
        <w:tc>
          <w:tcPr>
            <w:tcW w:w="1013"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2581984</w:t>
            </w:r>
          </w:p>
        </w:tc>
        <w:tc>
          <w:tcPr>
            <w:tcW w:w="787"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25"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49"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39"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rPr>
          <w:trHeight w:val="567" w:hRule="atLeast"/>
        </w:trPr>
        <w:tc>
          <w:tcPr>
            <w:tcW w:w="4045"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ind w:firstLine="880" w:firstLineChars="40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其他地方自行试点项目收益专项债券收入安排的支出</w:t>
            </w:r>
          </w:p>
        </w:tc>
        <w:tc>
          <w:tcPr>
            <w:tcW w:w="1075" w:type="dxa"/>
            <w:tcBorders>
              <w:top w:val="nil"/>
              <w:left w:val="nil"/>
              <w:bottom w:val="single" w:color="000000" w:sz="8" w:space="0"/>
              <w:right w:val="single" w:color="000000" w:sz="8" w:space="0"/>
            </w:tcBorders>
            <w:shd w:val="clear"/>
            <w:noWrap/>
            <w:tcMar>
              <w:top w:w="10" w:type="dxa"/>
              <w:left w:w="10" w:type="dxa"/>
              <w:right w:w="10" w:type="dxa"/>
            </w:tcMar>
            <w:vAlign w:val="center"/>
          </w:tcPr>
          <w:p>
            <w:pPr>
              <w:jc w:val="center"/>
              <w:rPr>
                <w:rFonts w:hint="default" w:ascii="Times New Roman" w:hAnsi="Times New Roman" w:eastAsia="宋体" w:cs="Times New Roman"/>
                <w:i w:val="0"/>
                <w:color w:val="000000"/>
                <w:sz w:val="22"/>
                <w:szCs w:val="22"/>
                <w:u w:val="none"/>
              </w:rPr>
            </w:pPr>
          </w:p>
        </w:tc>
        <w:tc>
          <w:tcPr>
            <w:tcW w:w="1013"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default" w:ascii="Times New Roman" w:hAnsi="Times New Roman" w:eastAsia="宋体" w:cs="Times New Roman"/>
                <w:i w:val="0"/>
                <w:color w:val="000000"/>
                <w:sz w:val="22"/>
                <w:szCs w:val="22"/>
                <w:u w:val="none"/>
              </w:rPr>
            </w:pPr>
          </w:p>
        </w:tc>
        <w:tc>
          <w:tcPr>
            <w:tcW w:w="787"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25"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49"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30000</w:t>
            </w:r>
          </w:p>
        </w:tc>
        <w:tc>
          <w:tcPr>
            <w:tcW w:w="739"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567" w:hRule="atLeast"/>
        </w:trPr>
        <w:tc>
          <w:tcPr>
            <w:tcW w:w="4045"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ind w:firstLine="440" w:firstLineChars="20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彩票公益金安排的支出</w:t>
            </w:r>
          </w:p>
        </w:tc>
        <w:tc>
          <w:tcPr>
            <w:tcW w:w="1075"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150</w:t>
            </w:r>
          </w:p>
        </w:tc>
        <w:tc>
          <w:tcPr>
            <w:tcW w:w="1013"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151</w:t>
            </w:r>
          </w:p>
        </w:tc>
        <w:tc>
          <w:tcPr>
            <w:tcW w:w="787"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25"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49"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300</w:t>
            </w:r>
          </w:p>
        </w:tc>
        <w:tc>
          <w:tcPr>
            <w:tcW w:w="739"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67" w:hRule="atLeast"/>
        </w:trPr>
        <w:tc>
          <w:tcPr>
            <w:tcW w:w="4045"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ind w:firstLineChars="10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 xml:space="preserve">    用于社会福利的彩票公益金支出</w:t>
            </w:r>
          </w:p>
        </w:tc>
        <w:tc>
          <w:tcPr>
            <w:tcW w:w="1075"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23</w:t>
            </w:r>
          </w:p>
        </w:tc>
        <w:tc>
          <w:tcPr>
            <w:tcW w:w="1013"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23</w:t>
            </w:r>
          </w:p>
        </w:tc>
        <w:tc>
          <w:tcPr>
            <w:tcW w:w="787"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25"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49"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w:t>
            </w:r>
          </w:p>
        </w:tc>
        <w:tc>
          <w:tcPr>
            <w:tcW w:w="739"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567" w:hRule="atLeast"/>
        </w:trPr>
        <w:tc>
          <w:tcPr>
            <w:tcW w:w="4045"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ind w:firstLineChars="10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 xml:space="preserve">    用于体育事业的彩票公益金支出</w:t>
            </w:r>
          </w:p>
        </w:tc>
        <w:tc>
          <w:tcPr>
            <w:tcW w:w="1075"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127</w:t>
            </w:r>
          </w:p>
        </w:tc>
        <w:tc>
          <w:tcPr>
            <w:tcW w:w="1013"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128</w:t>
            </w:r>
          </w:p>
        </w:tc>
        <w:tc>
          <w:tcPr>
            <w:tcW w:w="787"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25"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49"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200</w:t>
            </w:r>
          </w:p>
        </w:tc>
        <w:tc>
          <w:tcPr>
            <w:tcW w:w="739"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67" w:hRule="atLeast"/>
        </w:trPr>
        <w:tc>
          <w:tcPr>
            <w:tcW w:w="4045"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ind w:firstLineChars="10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四、债务付息支出</w:t>
            </w:r>
          </w:p>
        </w:tc>
        <w:tc>
          <w:tcPr>
            <w:tcW w:w="1075"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1302</w:t>
            </w:r>
          </w:p>
        </w:tc>
        <w:tc>
          <w:tcPr>
            <w:tcW w:w="1013"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1301</w:t>
            </w:r>
          </w:p>
        </w:tc>
        <w:tc>
          <w:tcPr>
            <w:tcW w:w="787"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99.9</w:t>
            </w:r>
          </w:p>
        </w:tc>
        <w:tc>
          <w:tcPr>
            <w:tcW w:w="725"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849"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1301</w:t>
            </w:r>
          </w:p>
        </w:tc>
        <w:tc>
          <w:tcPr>
            <w:tcW w:w="739"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r>
      <w:tr>
        <w:tblPrEx>
          <w:shd w:val="clear"/>
          <w:tblCellMar>
            <w:top w:w="0" w:type="dxa"/>
            <w:left w:w="0" w:type="dxa"/>
            <w:bottom w:w="0" w:type="dxa"/>
            <w:right w:w="0" w:type="dxa"/>
          </w:tblCellMar>
        </w:tblPrEx>
        <w:trPr>
          <w:trHeight w:val="567" w:hRule="atLeast"/>
        </w:trPr>
        <w:tc>
          <w:tcPr>
            <w:tcW w:w="4045"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ind w:firstLine="440" w:firstLineChars="20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地方政府专项债务付息支出</w:t>
            </w:r>
          </w:p>
        </w:tc>
        <w:tc>
          <w:tcPr>
            <w:tcW w:w="1075"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1302</w:t>
            </w:r>
          </w:p>
        </w:tc>
        <w:tc>
          <w:tcPr>
            <w:tcW w:w="1013"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1301</w:t>
            </w:r>
          </w:p>
        </w:tc>
        <w:tc>
          <w:tcPr>
            <w:tcW w:w="787"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25"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49"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1301</w:t>
            </w:r>
          </w:p>
        </w:tc>
        <w:tc>
          <w:tcPr>
            <w:tcW w:w="739"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567" w:hRule="atLeast"/>
        </w:trPr>
        <w:tc>
          <w:tcPr>
            <w:tcW w:w="4045"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ind w:firstLineChars="10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 xml:space="preserve">   </w:t>
            </w:r>
            <w:r>
              <w:rPr>
                <w:rFonts w:hint="eastAsia" w:cs="Times New Roman"/>
                <w:i w:val="0"/>
                <w:color w:val="000000"/>
                <w:kern w:val="0"/>
                <w:sz w:val="22"/>
                <w:szCs w:val="22"/>
                <w:u w:val="none"/>
                <w:bdr w:val="none" w:color="auto" w:sz="0" w:space="0"/>
                <w:lang w:val="en-US" w:eastAsia="zh-CN" w:bidi="ar"/>
              </w:rPr>
              <w:t xml:space="preserve"> </w:t>
            </w:r>
            <w:r>
              <w:rPr>
                <w:rFonts w:hint="default" w:ascii="Times New Roman" w:hAnsi="Times New Roman" w:eastAsia="宋体" w:cs="Times New Roman"/>
                <w:i w:val="0"/>
                <w:color w:val="000000"/>
                <w:kern w:val="0"/>
                <w:sz w:val="22"/>
                <w:szCs w:val="22"/>
                <w:u w:val="none"/>
                <w:bdr w:val="none" w:color="auto" w:sz="0" w:space="0"/>
                <w:lang w:val="en-US" w:eastAsia="zh-CN" w:bidi="ar"/>
              </w:rPr>
              <w:t xml:space="preserve"> 国有土地使用权出让金债务付息支出</w:t>
            </w:r>
          </w:p>
        </w:tc>
        <w:tc>
          <w:tcPr>
            <w:tcW w:w="1075" w:type="dxa"/>
            <w:tcBorders>
              <w:top w:val="nil"/>
              <w:left w:val="nil"/>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1302</w:t>
            </w:r>
          </w:p>
        </w:tc>
        <w:tc>
          <w:tcPr>
            <w:tcW w:w="1013"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1301</w:t>
            </w:r>
          </w:p>
        </w:tc>
        <w:tc>
          <w:tcPr>
            <w:tcW w:w="787"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25"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49"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1301</w:t>
            </w:r>
          </w:p>
        </w:tc>
        <w:tc>
          <w:tcPr>
            <w:tcW w:w="739" w:type="dxa"/>
            <w:tcBorders>
              <w:top w:val="nil"/>
              <w:left w:val="nil"/>
              <w:bottom w:val="single" w:color="000000" w:sz="8" w:space="0"/>
              <w:right w:val="single" w:color="000000" w:sz="8"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567" w:hRule="atLeast"/>
        </w:trPr>
        <w:tc>
          <w:tcPr>
            <w:tcW w:w="4045"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ind w:firstLineChars="10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五、债务发行费用支出</w:t>
            </w:r>
          </w:p>
        </w:tc>
        <w:tc>
          <w:tcPr>
            <w:tcW w:w="1075" w:type="dxa"/>
            <w:tcBorders>
              <w:top w:val="nil"/>
              <w:left w:val="nil"/>
              <w:bottom w:val="single" w:color="000000" w:sz="8" w:space="0"/>
              <w:right w:val="single" w:color="000000" w:sz="8" w:space="0"/>
            </w:tcBorders>
            <w:shd w:val="clear"/>
            <w:noWrap/>
            <w:tcMar>
              <w:top w:w="10" w:type="dxa"/>
              <w:left w:w="10" w:type="dxa"/>
              <w:right w:w="10" w:type="dxa"/>
            </w:tcMar>
            <w:vAlign w:val="center"/>
          </w:tcPr>
          <w:p>
            <w:pPr>
              <w:jc w:val="center"/>
              <w:rPr>
                <w:rFonts w:hint="default" w:ascii="Times New Roman" w:hAnsi="Times New Roman" w:eastAsia="宋体" w:cs="Times New Roman"/>
                <w:i w:val="0"/>
                <w:color w:val="000000"/>
                <w:sz w:val="22"/>
                <w:szCs w:val="22"/>
                <w:u w:val="none"/>
              </w:rPr>
            </w:pPr>
          </w:p>
        </w:tc>
        <w:tc>
          <w:tcPr>
            <w:tcW w:w="1013"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5</w:t>
            </w:r>
          </w:p>
        </w:tc>
        <w:tc>
          <w:tcPr>
            <w:tcW w:w="787"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725"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849"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739"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w:t>
            </w:r>
          </w:p>
        </w:tc>
      </w:tr>
      <w:tr>
        <w:tblPrEx>
          <w:shd w:val="clear"/>
          <w:tblCellMar>
            <w:top w:w="0" w:type="dxa"/>
            <w:left w:w="0" w:type="dxa"/>
            <w:bottom w:w="0" w:type="dxa"/>
            <w:right w:w="0" w:type="dxa"/>
          </w:tblCellMar>
        </w:tblPrEx>
        <w:trPr>
          <w:trHeight w:val="567" w:hRule="atLeast"/>
        </w:trPr>
        <w:tc>
          <w:tcPr>
            <w:tcW w:w="4045"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ind w:firstLineChars="10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　地方政府专项债务发行费用支出</w:t>
            </w:r>
          </w:p>
        </w:tc>
        <w:tc>
          <w:tcPr>
            <w:tcW w:w="1075" w:type="dxa"/>
            <w:tcBorders>
              <w:top w:val="nil"/>
              <w:left w:val="nil"/>
              <w:bottom w:val="single" w:color="000000" w:sz="8" w:space="0"/>
              <w:right w:val="single" w:color="000000" w:sz="8" w:space="0"/>
            </w:tcBorders>
            <w:shd w:val="clear"/>
            <w:noWrap/>
            <w:tcMar>
              <w:top w:w="10" w:type="dxa"/>
              <w:left w:w="10" w:type="dxa"/>
              <w:right w:w="10" w:type="dxa"/>
            </w:tcMar>
            <w:vAlign w:val="center"/>
          </w:tcPr>
          <w:p>
            <w:pPr>
              <w:jc w:val="center"/>
              <w:rPr>
                <w:rFonts w:hint="default" w:ascii="Times New Roman" w:hAnsi="Times New Roman" w:eastAsia="宋体" w:cs="Times New Roman"/>
                <w:i w:val="0"/>
                <w:color w:val="000000"/>
                <w:sz w:val="22"/>
                <w:szCs w:val="22"/>
                <w:u w:val="none"/>
              </w:rPr>
            </w:pPr>
          </w:p>
        </w:tc>
        <w:tc>
          <w:tcPr>
            <w:tcW w:w="1013"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5</w:t>
            </w:r>
          </w:p>
        </w:tc>
        <w:tc>
          <w:tcPr>
            <w:tcW w:w="787" w:type="dxa"/>
            <w:tcBorders>
              <w:top w:val="nil"/>
              <w:left w:val="single" w:color="000000" w:sz="8" w:space="0"/>
              <w:bottom w:val="nil"/>
              <w:right w:val="single" w:color="000000" w:sz="8" w:space="0"/>
            </w:tcBorders>
            <w:shd w:val="clear"/>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725" w:type="dxa"/>
            <w:tcBorders>
              <w:top w:val="nil"/>
              <w:left w:val="single" w:color="000000" w:sz="8" w:space="0"/>
              <w:bottom w:val="nil"/>
              <w:right w:val="single" w:color="000000" w:sz="8" w:space="0"/>
            </w:tcBorders>
            <w:shd w:val="clear"/>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849"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739" w:type="dxa"/>
            <w:tcBorders>
              <w:top w:val="nil"/>
              <w:left w:val="single" w:color="000000" w:sz="8" w:space="0"/>
              <w:bottom w:val="nil"/>
              <w:right w:val="single" w:color="000000" w:sz="8" w:space="0"/>
            </w:tcBorders>
            <w:shd w:val="clear"/>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567" w:hRule="atLeast"/>
        </w:trPr>
        <w:tc>
          <w:tcPr>
            <w:tcW w:w="4045"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keepNext w:val="0"/>
              <w:keepLines w:val="0"/>
              <w:widowControl/>
              <w:suppressLineNumbers w:val="0"/>
              <w:ind w:firstLineChars="10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 xml:space="preserve">    国有土地使用权出让金债务发行费用支出</w:t>
            </w:r>
          </w:p>
        </w:tc>
        <w:tc>
          <w:tcPr>
            <w:tcW w:w="1075" w:type="dxa"/>
            <w:tcBorders>
              <w:top w:val="nil"/>
              <w:left w:val="single" w:color="000000" w:sz="8" w:space="0"/>
              <w:bottom w:val="single" w:color="000000" w:sz="8" w:space="0"/>
              <w:right w:val="single" w:color="000000" w:sz="8" w:space="0"/>
            </w:tcBorders>
            <w:shd w:val="clear"/>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013"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5</w:t>
            </w:r>
          </w:p>
        </w:tc>
        <w:tc>
          <w:tcPr>
            <w:tcW w:w="787" w:type="dxa"/>
            <w:tcBorders>
              <w:top w:val="single" w:color="000000" w:sz="8" w:space="0"/>
              <w:left w:val="nil"/>
              <w:bottom w:val="single" w:color="000000" w:sz="8" w:space="0"/>
              <w:right w:val="single" w:color="000000" w:sz="8" w:space="0"/>
            </w:tcBorders>
            <w:shd w:val="clear"/>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725" w:type="dxa"/>
            <w:tcBorders>
              <w:top w:val="single" w:color="000000" w:sz="8" w:space="0"/>
              <w:left w:val="single" w:color="000000" w:sz="8" w:space="0"/>
              <w:bottom w:val="single" w:color="000000" w:sz="8" w:space="0"/>
              <w:right w:val="single" w:color="000000" w:sz="8" w:space="0"/>
            </w:tcBorders>
            <w:shd w:val="clear"/>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849"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739" w:type="dxa"/>
            <w:tcBorders>
              <w:top w:val="single" w:color="000000" w:sz="8" w:space="0"/>
              <w:left w:val="single" w:color="000000" w:sz="8" w:space="0"/>
              <w:bottom w:val="single" w:color="000000" w:sz="8" w:space="0"/>
              <w:right w:val="single" w:color="000000" w:sz="8" w:space="0"/>
            </w:tcBorders>
            <w:shd w:val="clear"/>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bl>
    <w:p>
      <w:pPr>
        <w:widowControl/>
        <w:jc w:val="left"/>
        <w:rPr>
          <w:rFonts w:ascii="宋体" w:hAnsi="宋体"/>
          <w:snapToGrid w:val="0"/>
          <w:kern w:val="0"/>
          <w:sz w:val="24"/>
        </w:rPr>
      </w:pPr>
    </w:p>
    <w:p>
      <w:pPr>
        <w:overflowPunct w:val="0"/>
        <w:adjustRightInd w:val="0"/>
        <w:snapToGrid w:val="0"/>
        <w:spacing w:line="360" w:lineRule="auto"/>
        <w:jc w:val="left"/>
        <w:rPr>
          <w:rFonts w:hint="eastAsia"/>
          <w:snapToGrid w:val="0"/>
          <w:kern w:val="0"/>
          <w:sz w:val="24"/>
        </w:rPr>
      </w:pPr>
    </w:p>
    <w:p>
      <w:pPr>
        <w:overflowPunct w:val="0"/>
        <w:adjustRightInd w:val="0"/>
        <w:snapToGrid w:val="0"/>
        <w:spacing w:line="360" w:lineRule="auto"/>
        <w:jc w:val="left"/>
        <w:rPr>
          <w:rFonts w:hint="eastAsia"/>
          <w:snapToGrid w:val="0"/>
          <w:kern w:val="0"/>
          <w:sz w:val="24"/>
        </w:rPr>
      </w:pPr>
    </w:p>
    <w:p>
      <w:pPr>
        <w:overflowPunct w:val="0"/>
        <w:adjustRightInd w:val="0"/>
        <w:snapToGrid w:val="0"/>
        <w:spacing w:line="360" w:lineRule="auto"/>
        <w:jc w:val="left"/>
        <w:rPr>
          <w:rFonts w:hint="eastAsia"/>
          <w:snapToGrid w:val="0"/>
          <w:kern w:val="0"/>
          <w:sz w:val="24"/>
        </w:rPr>
      </w:pPr>
    </w:p>
    <w:p>
      <w:pPr>
        <w:overflowPunct w:val="0"/>
        <w:adjustRightInd w:val="0"/>
        <w:snapToGrid w:val="0"/>
        <w:spacing w:line="360" w:lineRule="auto"/>
        <w:jc w:val="left"/>
        <w:rPr>
          <w:rFonts w:hint="eastAsia"/>
          <w:snapToGrid w:val="0"/>
          <w:kern w:val="0"/>
          <w:sz w:val="24"/>
        </w:rPr>
      </w:pPr>
    </w:p>
    <w:p>
      <w:pPr>
        <w:overflowPunct w:val="0"/>
        <w:adjustRightInd w:val="0"/>
        <w:snapToGrid w:val="0"/>
        <w:spacing w:line="360" w:lineRule="auto"/>
        <w:jc w:val="left"/>
        <w:rPr>
          <w:rFonts w:hint="eastAsia"/>
          <w:snapToGrid w:val="0"/>
          <w:kern w:val="0"/>
          <w:sz w:val="24"/>
        </w:rPr>
      </w:pPr>
    </w:p>
    <w:p>
      <w:pPr>
        <w:overflowPunct w:val="0"/>
        <w:adjustRightInd w:val="0"/>
        <w:snapToGrid w:val="0"/>
        <w:spacing w:line="360" w:lineRule="auto"/>
        <w:jc w:val="left"/>
        <w:rPr>
          <w:rFonts w:hint="eastAsia"/>
          <w:snapToGrid w:val="0"/>
          <w:kern w:val="0"/>
          <w:sz w:val="24"/>
        </w:rPr>
      </w:pPr>
    </w:p>
    <w:p>
      <w:pPr>
        <w:overflowPunct w:val="0"/>
        <w:adjustRightInd w:val="0"/>
        <w:snapToGrid w:val="0"/>
        <w:spacing w:line="360" w:lineRule="auto"/>
        <w:jc w:val="left"/>
        <w:rPr>
          <w:rFonts w:hint="eastAsia"/>
          <w:snapToGrid w:val="0"/>
          <w:kern w:val="0"/>
          <w:sz w:val="24"/>
        </w:rPr>
      </w:pPr>
    </w:p>
    <w:p>
      <w:pPr>
        <w:overflowPunct w:val="0"/>
        <w:adjustRightInd w:val="0"/>
        <w:snapToGrid w:val="0"/>
        <w:spacing w:line="360" w:lineRule="auto"/>
        <w:jc w:val="left"/>
        <w:rPr>
          <w:rFonts w:hint="eastAsia"/>
          <w:snapToGrid w:val="0"/>
          <w:kern w:val="0"/>
          <w:sz w:val="24"/>
        </w:rPr>
      </w:pPr>
    </w:p>
    <w:p>
      <w:pPr>
        <w:overflowPunct w:val="0"/>
        <w:adjustRightInd w:val="0"/>
        <w:snapToGrid w:val="0"/>
        <w:spacing w:line="360" w:lineRule="auto"/>
        <w:jc w:val="left"/>
        <w:rPr>
          <w:rFonts w:hint="eastAsia"/>
          <w:snapToGrid w:val="0"/>
          <w:kern w:val="0"/>
          <w:sz w:val="24"/>
        </w:rPr>
      </w:pPr>
    </w:p>
    <w:p>
      <w:pPr>
        <w:overflowPunct w:val="0"/>
        <w:adjustRightInd w:val="0"/>
        <w:snapToGrid w:val="0"/>
        <w:spacing w:line="360" w:lineRule="auto"/>
        <w:jc w:val="left"/>
        <w:rPr>
          <w:rFonts w:hint="eastAsia"/>
          <w:snapToGrid w:val="0"/>
          <w:kern w:val="0"/>
          <w:sz w:val="24"/>
        </w:rPr>
      </w:pPr>
    </w:p>
    <w:p>
      <w:pPr>
        <w:overflowPunct w:val="0"/>
        <w:adjustRightInd w:val="0"/>
        <w:snapToGrid w:val="0"/>
        <w:spacing w:line="360" w:lineRule="auto"/>
        <w:jc w:val="left"/>
        <w:rPr>
          <w:rFonts w:hint="eastAsia"/>
          <w:snapToGrid w:val="0"/>
          <w:kern w:val="0"/>
          <w:sz w:val="24"/>
        </w:rPr>
      </w:pPr>
    </w:p>
    <w:p>
      <w:pPr>
        <w:overflowPunct w:val="0"/>
        <w:adjustRightInd w:val="0"/>
        <w:snapToGrid w:val="0"/>
        <w:spacing w:line="360" w:lineRule="auto"/>
        <w:jc w:val="left"/>
        <w:rPr>
          <w:rFonts w:hint="eastAsia"/>
          <w:snapToGrid w:val="0"/>
          <w:kern w:val="0"/>
          <w:sz w:val="24"/>
        </w:rPr>
      </w:pPr>
    </w:p>
    <w:p>
      <w:pPr>
        <w:overflowPunct w:val="0"/>
        <w:adjustRightInd w:val="0"/>
        <w:snapToGrid w:val="0"/>
        <w:spacing w:line="360" w:lineRule="auto"/>
        <w:jc w:val="left"/>
        <w:rPr>
          <w:rFonts w:hint="eastAsia"/>
          <w:snapToGrid w:val="0"/>
          <w:kern w:val="0"/>
          <w:sz w:val="24"/>
        </w:rPr>
      </w:pPr>
    </w:p>
    <w:p>
      <w:pPr>
        <w:overflowPunct w:val="0"/>
        <w:adjustRightInd w:val="0"/>
        <w:snapToGrid w:val="0"/>
        <w:spacing w:line="360" w:lineRule="auto"/>
        <w:jc w:val="left"/>
        <w:rPr>
          <w:rFonts w:hint="eastAsia"/>
          <w:snapToGrid w:val="0"/>
          <w:kern w:val="0"/>
          <w:sz w:val="24"/>
        </w:rPr>
      </w:pPr>
    </w:p>
    <w:p>
      <w:pPr>
        <w:overflowPunct w:val="0"/>
        <w:adjustRightInd w:val="0"/>
        <w:snapToGrid w:val="0"/>
        <w:spacing w:line="360" w:lineRule="auto"/>
        <w:jc w:val="left"/>
        <w:rPr>
          <w:rFonts w:hint="eastAsia"/>
          <w:snapToGrid w:val="0"/>
          <w:kern w:val="0"/>
          <w:sz w:val="24"/>
        </w:rPr>
      </w:pPr>
    </w:p>
    <w:p>
      <w:pPr>
        <w:overflowPunct w:val="0"/>
        <w:adjustRightInd w:val="0"/>
        <w:snapToGrid w:val="0"/>
        <w:spacing w:line="360" w:lineRule="auto"/>
        <w:jc w:val="left"/>
        <w:rPr>
          <w:rFonts w:hint="eastAsia"/>
          <w:snapToGrid w:val="0"/>
          <w:kern w:val="0"/>
          <w:sz w:val="24"/>
        </w:rPr>
      </w:pPr>
    </w:p>
    <w:p>
      <w:pPr>
        <w:overflowPunct w:val="0"/>
        <w:adjustRightInd w:val="0"/>
        <w:snapToGrid w:val="0"/>
        <w:spacing w:line="360" w:lineRule="auto"/>
        <w:jc w:val="left"/>
        <w:rPr>
          <w:bCs/>
          <w:snapToGrid w:val="0"/>
          <w:kern w:val="0"/>
          <w:sz w:val="28"/>
          <w:szCs w:val="28"/>
        </w:rPr>
      </w:pPr>
      <w:r>
        <w:rPr>
          <w:rFonts w:hint="eastAsia"/>
          <w:snapToGrid w:val="0"/>
          <w:kern w:val="0"/>
          <w:sz w:val="24"/>
        </w:rPr>
        <w:t>附表二</w:t>
      </w:r>
      <w:r>
        <w:rPr>
          <w:snapToGrid w:val="0"/>
          <w:kern w:val="0"/>
          <w:sz w:val="24"/>
        </w:rPr>
        <w:t>-</w:t>
      </w:r>
      <w:r>
        <w:rPr>
          <w:rFonts w:hint="eastAsia"/>
          <w:snapToGrid w:val="0"/>
          <w:kern w:val="0"/>
          <w:sz w:val="24"/>
        </w:rPr>
        <w:t>3：</w:t>
      </w:r>
    </w:p>
    <w:p>
      <w:pPr>
        <w:overflowPunct w:val="0"/>
        <w:adjustRightInd w:val="0"/>
        <w:snapToGrid w:val="0"/>
        <w:jc w:val="center"/>
        <w:rPr>
          <w:b/>
          <w:bCs/>
          <w:snapToGrid w:val="0"/>
          <w:kern w:val="0"/>
          <w:sz w:val="36"/>
          <w:szCs w:val="36"/>
        </w:rPr>
      </w:pPr>
      <w:r>
        <w:rPr>
          <w:rFonts w:hint="eastAsia"/>
          <w:b/>
          <w:bCs/>
          <w:snapToGrid w:val="0"/>
          <w:kern w:val="0"/>
          <w:sz w:val="36"/>
          <w:szCs w:val="36"/>
        </w:rPr>
        <w:t>浙南产业集聚区2019年及2020年政府性基金预算</w:t>
      </w:r>
    </w:p>
    <w:p>
      <w:pPr>
        <w:overflowPunct w:val="0"/>
        <w:adjustRightInd w:val="0"/>
        <w:snapToGrid w:val="0"/>
        <w:jc w:val="center"/>
        <w:rPr>
          <w:b/>
          <w:bCs/>
          <w:snapToGrid w:val="0"/>
          <w:kern w:val="0"/>
          <w:sz w:val="36"/>
          <w:szCs w:val="36"/>
        </w:rPr>
      </w:pPr>
      <w:r>
        <w:rPr>
          <w:rFonts w:hint="eastAsia"/>
          <w:b/>
          <w:bCs/>
          <w:snapToGrid w:val="0"/>
          <w:kern w:val="0"/>
          <w:sz w:val="36"/>
          <w:szCs w:val="36"/>
        </w:rPr>
        <w:t>收支（平衡）预计表</w:t>
      </w:r>
    </w:p>
    <w:p>
      <w:pPr>
        <w:overflowPunct w:val="0"/>
        <w:adjustRightInd w:val="0"/>
        <w:snapToGrid w:val="0"/>
        <w:ind w:left="12" w:right="480" w:firstLine="7200" w:firstLineChars="3000"/>
        <w:textAlignment w:val="center"/>
        <w:rPr>
          <w:snapToGrid w:val="0"/>
          <w:color w:val="000000"/>
          <w:kern w:val="0"/>
          <w:sz w:val="24"/>
        </w:rPr>
      </w:pPr>
      <w:r>
        <w:rPr>
          <w:rFonts w:hint="eastAsia"/>
          <w:snapToGrid w:val="0"/>
          <w:color w:val="000000"/>
          <w:kern w:val="0"/>
          <w:sz w:val="24"/>
        </w:rPr>
        <w:t>单位:万元</w:t>
      </w:r>
    </w:p>
    <w:tbl>
      <w:tblPr>
        <w:tblStyle w:val="23"/>
        <w:tblW w:w="0" w:type="auto"/>
        <w:tblInd w:w="93" w:type="dxa"/>
        <w:tblLayout w:type="autofit"/>
        <w:tblCellMar>
          <w:top w:w="0" w:type="dxa"/>
          <w:left w:w="108" w:type="dxa"/>
          <w:bottom w:w="0" w:type="dxa"/>
          <w:right w:w="108" w:type="dxa"/>
        </w:tblCellMar>
      </w:tblPr>
      <w:tblGrid>
        <w:gridCol w:w="3576"/>
        <w:gridCol w:w="2263"/>
        <w:gridCol w:w="3107"/>
      </w:tblGrid>
      <w:tr>
        <w:tblPrEx>
          <w:tblCellMar>
            <w:top w:w="0" w:type="dxa"/>
            <w:left w:w="108" w:type="dxa"/>
            <w:bottom w:w="0" w:type="dxa"/>
            <w:right w:w="108" w:type="dxa"/>
          </w:tblCellMar>
        </w:tblPrEx>
        <w:trPr>
          <w:trHeight w:val="315"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项目</w:t>
            </w:r>
          </w:p>
        </w:tc>
        <w:tc>
          <w:tcPr>
            <w:tcW w:w="2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
                <w:bCs/>
                <w:color w:val="000000"/>
                <w:kern w:val="0"/>
                <w:sz w:val="28"/>
                <w:szCs w:val="28"/>
              </w:rPr>
            </w:pPr>
            <w:r>
              <w:rPr>
                <w:rFonts w:ascii="宋体" w:hAnsi="宋体"/>
                <w:b/>
                <w:bCs/>
                <w:color w:val="000000"/>
                <w:kern w:val="0"/>
                <w:sz w:val="28"/>
                <w:szCs w:val="28"/>
              </w:rPr>
              <w:t>2019</w:t>
            </w:r>
            <w:r>
              <w:rPr>
                <w:rFonts w:hint="eastAsia" w:ascii="宋体" w:hAnsi="宋体"/>
                <w:b/>
                <w:bCs/>
                <w:color w:val="000000"/>
                <w:kern w:val="0"/>
                <w:sz w:val="28"/>
                <w:szCs w:val="28"/>
              </w:rPr>
              <w:t>年执行数</w:t>
            </w:r>
          </w:p>
        </w:tc>
        <w:tc>
          <w:tcPr>
            <w:tcW w:w="31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
                <w:bCs/>
                <w:color w:val="000000"/>
                <w:kern w:val="0"/>
                <w:sz w:val="28"/>
                <w:szCs w:val="28"/>
              </w:rPr>
            </w:pPr>
            <w:r>
              <w:rPr>
                <w:rFonts w:ascii="宋体" w:hAnsi="宋体"/>
                <w:b/>
                <w:bCs/>
                <w:color w:val="000000"/>
                <w:kern w:val="0"/>
                <w:sz w:val="28"/>
                <w:szCs w:val="28"/>
              </w:rPr>
              <w:t>2020</w:t>
            </w:r>
            <w:r>
              <w:rPr>
                <w:rFonts w:hint="eastAsia" w:ascii="宋体" w:hAnsi="宋体"/>
                <w:b/>
                <w:bCs/>
                <w:color w:val="000000"/>
                <w:kern w:val="0"/>
                <w:sz w:val="28"/>
                <w:szCs w:val="28"/>
              </w:rPr>
              <w:t>年预算数</w:t>
            </w:r>
          </w:p>
        </w:tc>
      </w:tr>
      <w:tr>
        <w:tblPrEx>
          <w:tblCellMar>
            <w:top w:w="0" w:type="dxa"/>
            <w:left w:w="108" w:type="dxa"/>
            <w:bottom w:w="0" w:type="dxa"/>
            <w:right w:w="108" w:type="dxa"/>
          </w:tblCellMar>
        </w:tblPrEx>
        <w:trPr>
          <w:trHeight w:val="567"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overflowPunct w:val="0"/>
              <w:adjustRightInd w:val="0"/>
              <w:snapToGrid w:val="0"/>
              <w:textAlignment w:val="center"/>
              <w:rPr>
                <w:b/>
                <w:snapToGrid w:val="0"/>
                <w:color w:val="000000"/>
                <w:kern w:val="0"/>
                <w:sz w:val="24"/>
              </w:rPr>
            </w:pPr>
            <w:r>
              <w:rPr>
                <w:rFonts w:hint="eastAsia"/>
                <w:b/>
                <w:snapToGrid w:val="0"/>
                <w:color w:val="000000"/>
                <w:kern w:val="0"/>
                <w:sz w:val="24"/>
              </w:rPr>
              <w:t>一、收入合计</w:t>
            </w:r>
          </w:p>
        </w:tc>
        <w:tc>
          <w:tcPr>
            <w:tcW w:w="2263" w:type="dxa"/>
            <w:tcBorders>
              <w:top w:val="nil"/>
              <w:left w:val="nil"/>
              <w:bottom w:val="single" w:color="auto" w:sz="4" w:space="0"/>
              <w:right w:val="single" w:color="auto" w:sz="4" w:space="0"/>
            </w:tcBorders>
            <w:shd w:val="clear" w:color="auto" w:fill="auto"/>
            <w:vAlign w:val="center"/>
          </w:tcPr>
          <w:p>
            <w:pPr>
              <w:jc w:val="center"/>
              <w:rPr>
                <w:sz w:val="24"/>
              </w:rPr>
            </w:pPr>
            <w:r>
              <w:rPr>
                <w:sz w:val="24"/>
              </w:rPr>
              <w:t>2710508</w:t>
            </w:r>
          </w:p>
        </w:tc>
        <w:tc>
          <w:tcPr>
            <w:tcW w:w="3107" w:type="dxa"/>
            <w:tcBorders>
              <w:top w:val="nil"/>
              <w:left w:val="nil"/>
              <w:bottom w:val="single" w:color="auto" w:sz="4" w:space="0"/>
              <w:right w:val="single" w:color="auto" w:sz="4" w:space="0"/>
            </w:tcBorders>
            <w:shd w:val="clear" w:color="auto" w:fill="auto"/>
            <w:vAlign w:val="center"/>
          </w:tcPr>
          <w:p>
            <w:pPr>
              <w:jc w:val="center"/>
              <w:rPr>
                <w:sz w:val="24"/>
              </w:rPr>
            </w:pPr>
            <w:r>
              <w:rPr>
                <w:rFonts w:hint="eastAsia"/>
                <w:sz w:val="24"/>
              </w:rPr>
              <w:t>30</w:t>
            </w:r>
            <w:r>
              <w:rPr>
                <w:sz w:val="24"/>
              </w:rPr>
              <w:t>7674</w:t>
            </w:r>
          </w:p>
        </w:tc>
      </w:tr>
      <w:tr>
        <w:tblPrEx>
          <w:tblCellMar>
            <w:top w:w="0" w:type="dxa"/>
            <w:left w:w="108" w:type="dxa"/>
            <w:bottom w:w="0" w:type="dxa"/>
            <w:right w:w="108" w:type="dxa"/>
          </w:tblCellMar>
        </w:tblPrEx>
        <w:trPr>
          <w:trHeight w:val="567"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overflowPunct w:val="0"/>
              <w:adjustRightInd w:val="0"/>
              <w:snapToGrid w:val="0"/>
              <w:textAlignment w:val="center"/>
              <w:rPr>
                <w:snapToGrid w:val="0"/>
                <w:color w:val="000000"/>
                <w:kern w:val="0"/>
                <w:sz w:val="24"/>
              </w:rPr>
            </w:pPr>
            <w:r>
              <w:rPr>
                <w:rFonts w:hint="eastAsia"/>
                <w:snapToGrid w:val="0"/>
                <w:color w:val="000000"/>
                <w:kern w:val="0"/>
                <w:sz w:val="24"/>
              </w:rPr>
              <w:t>（一）政府性基金收入</w:t>
            </w:r>
          </w:p>
        </w:tc>
        <w:tc>
          <w:tcPr>
            <w:tcW w:w="2263" w:type="dxa"/>
            <w:tcBorders>
              <w:top w:val="nil"/>
              <w:left w:val="nil"/>
              <w:bottom w:val="single" w:color="auto" w:sz="4" w:space="0"/>
              <w:right w:val="single" w:color="auto" w:sz="4" w:space="0"/>
            </w:tcBorders>
            <w:shd w:val="clear" w:color="auto" w:fill="auto"/>
            <w:vAlign w:val="center"/>
          </w:tcPr>
          <w:p>
            <w:pPr>
              <w:jc w:val="center"/>
              <w:rPr>
                <w:sz w:val="24"/>
              </w:rPr>
            </w:pPr>
            <w:r>
              <w:rPr>
                <w:sz w:val="24"/>
              </w:rPr>
              <w:t>2632266</w:t>
            </w:r>
          </w:p>
        </w:tc>
        <w:tc>
          <w:tcPr>
            <w:tcW w:w="3107" w:type="dxa"/>
            <w:tcBorders>
              <w:top w:val="nil"/>
              <w:left w:val="nil"/>
              <w:bottom w:val="single" w:color="auto" w:sz="4" w:space="0"/>
              <w:right w:val="single" w:color="auto" w:sz="4" w:space="0"/>
            </w:tcBorders>
            <w:shd w:val="clear" w:color="auto" w:fill="auto"/>
            <w:vAlign w:val="center"/>
          </w:tcPr>
          <w:p>
            <w:pPr>
              <w:jc w:val="center"/>
              <w:rPr>
                <w:sz w:val="24"/>
              </w:rPr>
            </w:pPr>
            <w:r>
              <w:rPr>
                <w:sz w:val="24"/>
              </w:rPr>
              <w:t>269533</w:t>
            </w:r>
          </w:p>
        </w:tc>
      </w:tr>
      <w:tr>
        <w:tblPrEx>
          <w:tblCellMar>
            <w:top w:w="0" w:type="dxa"/>
            <w:left w:w="108" w:type="dxa"/>
            <w:bottom w:w="0" w:type="dxa"/>
            <w:right w:w="108" w:type="dxa"/>
          </w:tblCellMar>
        </w:tblPrEx>
        <w:trPr>
          <w:trHeight w:val="567"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overflowPunct w:val="0"/>
              <w:adjustRightInd w:val="0"/>
              <w:snapToGrid w:val="0"/>
              <w:textAlignment w:val="center"/>
              <w:rPr>
                <w:snapToGrid w:val="0"/>
                <w:color w:val="000000"/>
                <w:kern w:val="0"/>
                <w:sz w:val="24"/>
              </w:rPr>
            </w:pPr>
            <w:r>
              <w:rPr>
                <w:rFonts w:hint="eastAsia"/>
                <w:snapToGrid w:val="0"/>
                <w:color w:val="000000"/>
                <w:kern w:val="0"/>
                <w:sz w:val="24"/>
              </w:rPr>
              <w:t>（二）上级补助收入</w:t>
            </w:r>
          </w:p>
        </w:tc>
        <w:tc>
          <w:tcPr>
            <w:tcW w:w="2263" w:type="dxa"/>
            <w:tcBorders>
              <w:top w:val="nil"/>
              <w:left w:val="nil"/>
              <w:bottom w:val="single" w:color="auto" w:sz="4" w:space="0"/>
              <w:right w:val="single" w:color="auto" w:sz="4" w:space="0"/>
            </w:tcBorders>
            <w:shd w:val="clear" w:color="auto" w:fill="auto"/>
            <w:vAlign w:val="center"/>
          </w:tcPr>
          <w:p>
            <w:pPr>
              <w:jc w:val="center"/>
              <w:rPr>
                <w:sz w:val="24"/>
              </w:rPr>
            </w:pPr>
            <w:r>
              <w:rPr>
                <w:sz w:val="24"/>
              </w:rPr>
              <w:t>4678</w:t>
            </w:r>
          </w:p>
        </w:tc>
        <w:tc>
          <w:tcPr>
            <w:tcW w:w="3107" w:type="dxa"/>
            <w:tcBorders>
              <w:top w:val="nil"/>
              <w:left w:val="nil"/>
              <w:bottom w:val="single" w:color="auto" w:sz="4" w:space="0"/>
              <w:right w:val="single" w:color="auto" w:sz="4" w:space="0"/>
            </w:tcBorders>
            <w:shd w:val="clear" w:color="auto" w:fill="auto"/>
            <w:vAlign w:val="center"/>
          </w:tcPr>
          <w:p>
            <w:pPr>
              <w:jc w:val="center"/>
              <w:rPr>
                <w:sz w:val="24"/>
              </w:rPr>
            </w:pPr>
            <w:r>
              <w:rPr>
                <w:sz w:val="24"/>
              </w:rPr>
              <w:t>4000</w:t>
            </w:r>
          </w:p>
        </w:tc>
      </w:tr>
      <w:tr>
        <w:tblPrEx>
          <w:tblCellMar>
            <w:top w:w="0" w:type="dxa"/>
            <w:left w:w="108" w:type="dxa"/>
            <w:bottom w:w="0" w:type="dxa"/>
            <w:right w:w="108" w:type="dxa"/>
          </w:tblCellMar>
        </w:tblPrEx>
        <w:trPr>
          <w:trHeight w:val="567"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overflowPunct w:val="0"/>
              <w:adjustRightInd w:val="0"/>
              <w:snapToGrid w:val="0"/>
              <w:textAlignment w:val="center"/>
              <w:rPr>
                <w:snapToGrid w:val="0"/>
                <w:color w:val="000000"/>
                <w:kern w:val="0"/>
                <w:sz w:val="24"/>
              </w:rPr>
            </w:pPr>
            <w:r>
              <w:rPr>
                <w:rFonts w:hint="eastAsia"/>
                <w:snapToGrid w:val="0"/>
                <w:color w:val="000000"/>
                <w:kern w:val="0"/>
                <w:sz w:val="24"/>
              </w:rPr>
              <w:t>（三）专项债务转贷收入</w:t>
            </w:r>
          </w:p>
        </w:tc>
        <w:tc>
          <w:tcPr>
            <w:tcW w:w="2263" w:type="dxa"/>
            <w:tcBorders>
              <w:top w:val="nil"/>
              <w:left w:val="nil"/>
              <w:bottom w:val="single" w:color="auto" w:sz="4" w:space="0"/>
              <w:right w:val="single" w:color="auto" w:sz="4" w:space="0"/>
            </w:tcBorders>
            <w:shd w:val="clear" w:color="auto" w:fill="auto"/>
            <w:vAlign w:val="center"/>
          </w:tcPr>
          <w:p>
            <w:pPr>
              <w:jc w:val="center"/>
              <w:rPr>
                <w:sz w:val="24"/>
              </w:rPr>
            </w:pPr>
            <w:r>
              <w:rPr>
                <w:rFonts w:hint="eastAsia"/>
                <w:sz w:val="24"/>
              </w:rPr>
              <w:t>——</w:t>
            </w:r>
          </w:p>
        </w:tc>
        <w:tc>
          <w:tcPr>
            <w:tcW w:w="3107" w:type="dxa"/>
            <w:tcBorders>
              <w:top w:val="nil"/>
              <w:left w:val="nil"/>
              <w:bottom w:val="single" w:color="auto" w:sz="4" w:space="0"/>
              <w:right w:val="single" w:color="auto" w:sz="4" w:space="0"/>
            </w:tcBorders>
            <w:shd w:val="clear" w:color="auto" w:fill="auto"/>
            <w:vAlign w:val="center"/>
          </w:tcPr>
          <w:p>
            <w:pPr>
              <w:jc w:val="center"/>
              <w:rPr>
                <w:sz w:val="24"/>
              </w:rPr>
            </w:pPr>
            <w:r>
              <w:rPr>
                <w:rFonts w:hint="eastAsia"/>
                <w:sz w:val="24"/>
              </w:rPr>
              <w:t>30000</w:t>
            </w:r>
          </w:p>
        </w:tc>
      </w:tr>
      <w:tr>
        <w:tblPrEx>
          <w:tblCellMar>
            <w:top w:w="0" w:type="dxa"/>
            <w:left w:w="108" w:type="dxa"/>
            <w:bottom w:w="0" w:type="dxa"/>
            <w:right w:w="108" w:type="dxa"/>
          </w:tblCellMar>
        </w:tblPrEx>
        <w:trPr>
          <w:trHeight w:val="567"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overflowPunct w:val="0"/>
              <w:adjustRightInd w:val="0"/>
              <w:snapToGrid w:val="0"/>
              <w:textAlignment w:val="center"/>
              <w:rPr>
                <w:snapToGrid w:val="0"/>
                <w:color w:val="000000"/>
                <w:kern w:val="0"/>
                <w:sz w:val="24"/>
              </w:rPr>
            </w:pPr>
            <w:r>
              <w:rPr>
                <w:rFonts w:hint="eastAsia"/>
                <w:snapToGrid w:val="0"/>
                <w:color w:val="000000"/>
                <w:kern w:val="0"/>
                <w:sz w:val="24"/>
              </w:rPr>
              <w:t>（三）调入资金和动用上年结余</w:t>
            </w:r>
          </w:p>
        </w:tc>
        <w:tc>
          <w:tcPr>
            <w:tcW w:w="2263" w:type="dxa"/>
            <w:tcBorders>
              <w:top w:val="nil"/>
              <w:left w:val="nil"/>
              <w:bottom w:val="single" w:color="auto" w:sz="4" w:space="0"/>
              <w:right w:val="single" w:color="auto" w:sz="4" w:space="0"/>
            </w:tcBorders>
            <w:shd w:val="clear" w:color="auto" w:fill="auto"/>
            <w:vAlign w:val="center"/>
          </w:tcPr>
          <w:p>
            <w:pPr>
              <w:jc w:val="center"/>
              <w:rPr>
                <w:sz w:val="24"/>
              </w:rPr>
            </w:pPr>
            <w:r>
              <w:rPr>
                <w:sz w:val="24"/>
              </w:rPr>
              <w:t>73564</w:t>
            </w:r>
          </w:p>
        </w:tc>
        <w:tc>
          <w:tcPr>
            <w:tcW w:w="3107" w:type="dxa"/>
            <w:tcBorders>
              <w:top w:val="nil"/>
              <w:left w:val="nil"/>
              <w:bottom w:val="single" w:color="auto" w:sz="4" w:space="0"/>
              <w:right w:val="single" w:color="auto" w:sz="4" w:space="0"/>
            </w:tcBorders>
            <w:shd w:val="clear" w:color="auto" w:fill="auto"/>
            <w:vAlign w:val="center"/>
          </w:tcPr>
          <w:p>
            <w:pPr>
              <w:jc w:val="center"/>
              <w:rPr>
                <w:sz w:val="24"/>
              </w:rPr>
            </w:pPr>
            <w:r>
              <w:rPr>
                <w:sz w:val="24"/>
              </w:rPr>
              <w:t>4141</w:t>
            </w:r>
          </w:p>
        </w:tc>
      </w:tr>
      <w:tr>
        <w:tblPrEx>
          <w:tblCellMar>
            <w:top w:w="0" w:type="dxa"/>
            <w:left w:w="108" w:type="dxa"/>
            <w:bottom w:w="0" w:type="dxa"/>
            <w:right w:w="108" w:type="dxa"/>
          </w:tblCellMar>
        </w:tblPrEx>
        <w:trPr>
          <w:trHeight w:val="567"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overflowPunct w:val="0"/>
              <w:adjustRightInd w:val="0"/>
              <w:snapToGrid w:val="0"/>
              <w:textAlignment w:val="center"/>
              <w:rPr>
                <w:snapToGrid w:val="0"/>
                <w:color w:val="000000"/>
                <w:kern w:val="0"/>
                <w:sz w:val="24"/>
              </w:rPr>
            </w:pPr>
            <w:r>
              <w:rPr>
                <w:snapToGrid w:val="0"/>
                <w:color w:val="000000"/>
                <w:kern w:val="0"/>
                <w:sz w:val="24"/>
              </w:rPr>
              <w:t>　</w:t>
            </w:r>
          </w:p>
        </w:tc>
        <w:tc>
          <w:tcPr>
            <w:tcW w:w="2263" w:type="dxa"/>
            <w:tcBorders>
              <w:top w:val="nil"/>
              <w:left w:val="nil"/>
              <w:bottom w:val="single" w:color="auto" w:sz="4" w:space="0"/>
              <w:right w:val="single" w:color="auto" w:sz="4" w:space="0"/>
            </w:tcBorders>
            <w:shd w:val="clear" w:color="auto" w:fill="auto"/>
            <w:vAlign w:val="center"/>
          </w:tcPr>
          <w:p>
            <w:pPr>
              <w:jc w:val="center"/>
              <w:rPr>
                <w:sz w:val="24"/>
              </w:rPr>
            </w:pPr>
            <w:r>
              <w:rPr>
                <w:sz w:val="24"/>
              </w:rPr>
              <w:t>　</w:t>
            </w:r>
          </w:p>
        </w:tc>
        <w:tc>
          <w:tcPr>
            <w:tcW w:w="3107" w:type="dxa"/>
            <w:tcBorders>
              <w:top w:val="nil"/>
              <w:left w:val="nil"/>
              <w:bottom w:val="single" w:color="auto" w:sz="4" w:space="0"/>
              <w:right w:val="single" w:color="auto" w:sz="4" w:space="0"/>
            </w:tcBorders>
            <w:shd w:val="clear" w:color="auto" w:fill="auto"/>
            <w:vAlign w:val="center"/>
          </w:tcPr>
          <w:p>
            <w:pPr>
              <w:jc w:val="center"/>
              <w:rPr>
                <w:sz w:val="24"/>
              </w:rPr>
            </w:pPr>
            <w:r>
              <w:rPr>
                <w:sz w:val="24"/>
              </w:rPr>
              <w:t>　</w:t>
            </w:r>
          </w:p>
        </w:tc>
      </w:tr>
      <w:tr>
        <w:tblPrEx>
          <w:tblCellMar>
            <w:top w:w="0" w:type="dxa"/>
            <w:left w:w="108" w:type="dxa"/>
            <w:bottom w:w="0" w:type="dxa"/>
            <w:right w:w="108" w:type="dxa"/>
          </w:tblCellMar>
        </w:tblPrEx>
        <w:trPr>
          <w:trHeight w:val="567"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overflowPunct w:val="0"/>
              <w:adjustRightInd w:val="0"/>
              <w:snapToGrid w:val="0"/>
              <w:textAlignment w:val="center"/>
              <w:rPr>
                <w:b/>
                <w:snapToGrid w:val="0"/>
                <w:color w:val="000000"/>
                <w:kern w:val="0"/>
                <w:sz w:val="24"/>
              </w:rPr>
            </w:pPr>
            <w:r>
              <w:rPr>
                <w:rFonts w:hint="eastAsia"/>
                <w:b/>
                <w:snapToGrid w:val="0"/>
                <w:color w:val="000000"/>
                <w:kern w:val="0"/>
                <w:sz w:val="24"/>
              </w:rPr>
              <w:t>二、支出合计</w:t>
            </w:r>
          </w:p>
        </w:tc>
        <w:tc>
          <w:tcPr>
            <w:tcW w:w="2263" w:type="dxa"/>
            <w:tcBorders>
              <w:top w:val="nil"/>
              <w:left w:val="nil"/>
              <w:bottom w:val="single" w:color="auto" w:sz="4" w:space="0"/>
              <w:right w:val="single" w:color="auto" w:sz="4" w:space="0"/>
            </w:tcBorders>
            <w:shd w:val="clear" w:color="auto" w:fill="auto"/>
            <w:vAlign w:val="center"/>
          </w:tcPr>
          <w:p>
            <w:pPr>
              <w:jc w:val="center"/>
              <w:rPr>
                <w:sz w:val="24"/>
              </w:rPr>
            </w:pPr>
            <w:r>
              <w:rPr>
                <w:sz w:val="24"/>
              </w:rPr>
              <w:t>2710508</w:t>
            </w:r>
          </w:p>
        </w:tc>
        <w:tc>
          <w:tcPr>
            <w:tcW w:w="3107" w:type="dxa"/>
            <w:tcBorders>
              <w:top w:val="nil"/>
              <w:left w:val="nil"/>
              <w:bottom w:val="single" w:color="auto" w:sz="4" w:space="0"/>
              <w:right w:val="single" w:color="auto" w:sz="4" w:space="0"/>
            </w:tcBorders>
            <w:shd w:val="clear" w:color="auto" w:fill="auto"/>
            <w:vAlign w:val="center"/>
          </w:tcPr>
          <w:p>
            <w:pPr>
              <w:jc w:val="center"/>
              <w:rPr>
                <w:sz w:val="24"/>
              </w:rPr>
            </w:pPr>
            <w:r>
              <w:rPr>
                <w:rFonts w:hint="eastAsia"/>
                <w:sz w:val="24"/>
              </w:rPr>
              <w:t>30</w:t>
            </w:r>
            <w:r>
              <w:rPr>
                <w:sz w:val="24"/>
              </w:rPr>
              <w:t>7674</w:t>
            </w:r>
          </w:p>
        </w:tc>
      </w:tr>
      <w:tr>
        <w:tblPrEx>
          <w:tblCellMar>
            <w:top w:w="0" w:type="dxa"/>
            <w:left w:w="108" w:type="dxa"/>
            <w:bottom w:w="0" w:type="dxa"/>
            <w:right w:w="108" w:type="dxa"/>
          </w:tblCellMar>
        </w:tblPrEx>
        <w:trPr>
          <w:trHeight w:val="567"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overflowPunct w:val="0"/>
              <w:adjustRightInd w:val="0"/>
              <w:snapToGrid w:val="0"/>
              <w:textAlignment w:val="center"/>
              <w:rPr>
                <w:snapToGrid w:val="0"/>
                <w:color w:val="000000"/>
                <w:kern w:val="0"/>
                <w:sz w:val="24"/>
              </w:rPr>
            </w:pPr>
            <w:r>
              <w:rPr>
                <w:rFonts w:hint="eastAsia"/>
                <w:snapToGrid w:val="0"/>
                <w:color w:val="000000"/>
                <w:kern w:val="0"/>
                <w:sz w:val="24"/>
              </w:rPr>
              <w:t>（一）政府性基金支出</w:t>
            </w:r>
          </w:p>
        </w:tc>
        <w:tc>
          <w:tcPr>
            <w:tcW w:w="2263" w:type="dxa"/>
            <w:tcBorders>
              <w:top w:val="nil"/>
              <w:left w:val="nil"/>
              <w:bottom w:val="single" w:color="auto" w:sz="4" w:space="0"/>
              <w:right w:val="single" w:color="auto" w:sz="4" w:space="0"/>
            </w:tcBorders>
            <w:shd w:val="clear" w:color="auto" w:fill="auto"/>
            <w:vAlign w:val="center"/>
          </w:tcPr>
          <w:p>
            <w:pPr>
              <w:jc w:val="center"/>
              <w:rPr>
                <w:sz w:val="24"/>
              </w:rPr>
            </w:pPr>
            <w:r>
              <w:rPr>
                <w:sz w:val="24"/>
              </w:rPr>
              <w:t>2706367</w:t>
            </w:r>
          </w:p>
        </w:tc>
        <w:tc>
          <w:tcPr>
            <w:tcW w:w="3107" w:type="dxa"/>
            <w:tcBorders>
              <w:top w:val="nil"/>
              <w:left w:val="nil"/>
              <w:bottom w:val="single" w:color="auto" w:sz="4" w:space="0"/>
              <w:right w:val="single" w:color="auto" w:sz="4" w:space="0"/>
            </w:tcBorders>
            <w:shd w:val="clear" w:color="auto" w:fill="auto"/>
            <w:vAlign w:val="center"/>
          </w:tcPr>
          <w:p>
            <w:pPr>
              <w:jc w:val="center"/>
              <w:rPr>
                <w:sz w:val="24"/>
              </w:rPr>
            </w:pPr>
            <w:r>
              <w:rPr>
                <w:rFonts w:hint="eastAsia"/>
                <w:sz w:val="24"/>
              </w:rPr>
              <w:t>30</w:t>
            </w:r>
            <w:r>
              <w:rPr>
                <w:sz w:val="24"/>
              </w:rPr>
              <w:t>1198</w:t>
            </w:r>
          </w:p>
        </w:tc>
      </w:tr>
      <w:tr>
        <w:tblPrEx>
          <w:tblCellMar>
            <w:top w:w="0" w:type="dxa"/>
            <w:left w:w="108" w:type="dxa"/>
            <w:bottom w:w="0" w:type="dxa"/>
            <w:right w:w="108" w:type="dxa"/>
          </w:tblCellMar>
        </w:tblPrEx>
        <w:trPr>
          <w:trHeight w:val="567"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overflowPunct w:val="0"/>
              <w:adjustRightInd w:val="0"/>
              <w:snapToGrid w:val="0"/>
              <w:textAlignment w:val="center"/>
              <w:rPr>
                <w:snapToGrid w:val="0"/>
                <w:color w:val="000000"/>
                <w:kern w:val="0"/>
                <w:sz w:val="24"/>
              </w:rPr>
            </w:pPr>
            <w:r>
              <w:rPr>
                <w:rFonts w:hint="eastAsia"/>
                <w:snapToGrid w:val="0"/>
                <w:color w:val="000000"/>
                <w:kern w:val="0"/>
                <w:sz w:val="24"/>
              </w:rPr>
              <w:t>（二）调出资金和结转下年支出</w:t>
            </w:r>
          </w:p>
        </w:tc>
        <w:tc>
          <w:tcPr>
            <w:tcW w:w="2263" w:type="dxa"/>
            <w:tcBorders>
              <w:top w:val="nil"/>
              <w:left w:val="nil"/>
              <w:bottom w:val="single" w:color="auto" w:sz="4" w:space="0"/>
              <w:right w:val="single" w:color="auto" w:sz="4" w:space="0"/>
            </w:tcBorders>
            <w:shd w:val="clear" w:color="auto" w:fill="auto"/>
            <w:vAlign w:val="center"/>
          </w:tcPr>
          <w:p>
            <w:pPr>
              <w:jc w:val="center"/>
              <w:rPr>
                <w:sz w:val="24"/>
              </w:rPr>
            </w:pPr>
            <w:r>
              <w:rPr>
                <w:sz w:val="24"/>
              </w:rPr>
              <w:t>4141</w:t>
            </w:r>
          </w:p>
        </w:tc>
        <w:tc>
          <w:tcPr>
            <w:tcW w:w="3107" w:type="dxa"/>
            <w:tcBorders>
              <w:top w:val="nil"/>
              <w:left w:val="nil"/>
              <w:bottom w:val="single" w:color="auto" w:sz="4" w:space="0"/>
              <w:right w:val="single" w:color="auto" w:sz="4" w:space="0"/>
            </w:tcBorders>
            <w:shd w:val="clear" w:color="auto" w:fill="auto"/>
            <w:vAlign w:val="center"/>
          </w:tcPr>
          <w:p>
            <w:pPr>
              <w:jc w:val="center"/>
              <w:rPr>
                <w:sz w:val="24"/>
              </w:rPr>
            </w:pPr>
            <w:r>
              <w:rPr>
                <w:sz w:val="24"/>
              </w:rPr>
              <w:t>6476</w:t>
            </w:r>
          </w:p>
        </w:tc>
      </w:tr>
    </w:tbl>
    <w:p>
      <w:pPr>
        <w:overflowPunct w:val="0"/>
        <w:adjustRightInd w:val="0"/>
        <w:snapToGrid w:val="0"/>
        <w:jc w:val="left"/>
        <w:rPr>
          <w:snapToGrid w:val="0"/>
          <w:kern w:val="0"/>
          <w:sz w:val="24"/>
        </w:rPr>
      </w:pPr>
      <w:r>
        <w:rPr>
          <w:rFonts w:hint="eastAsia"/>
          <w:snapToGrid w:val="0"/>
          <w:kern w:val="0"/>
          <w:sz w:val="24"/>
        </w:rPr>
        <w:t>备注：因</w:t>
      </w:r>
      <w:r>
        <w:rPr>
          <w:snapToGrid w:val="0"/>
          <w:kern w:val="0"/>
          <w:sz w:val="24"/>
        </w:rPr>
        <w:t>201</w:t>
      </w:r>
      <w:r>
        <w:rPr>
          <w:rFonts w:hint="eastAsia"/>
          <w:snapToGrid w:val="0"/>
          <w:kern w:val="0"/>
          <w:sz w:val="24"/>
        </w:rPr>
        <w:t>9年市区体制结算尚未完成，以结算结果为准。</w:t>
      </w:r>
    </w:p>
    <w:p>
      <w:pPr>
        <w:widowControl/>
        <w:jc w:val="left"/>
        <w:rPr>
          <w:b/>
          <w:bCs/>
          <w:snapToGrid w:val="0"/>
          <w:kern w:val="0"/>
          <w:sz w:val="24"/>
        </w:rPr>
      </w:pPr>
      <w:r>
        <w:rPr>
          <w:b/>
          <w:bCs/>
          <w:snapToGrid w:val="0"/>
          <w:kern w:val="0"/>
          <w:sz w:val="24"/>
        </w:rPr>
        <w:br w:type="page"/>
      </w:r>
    </w:p>
    <w:p>
      <w:pPr>
        <w:overflowPunct w:val="0"/>
        <w:autoSpaceDE w:val="0"/>
        <w:autoSpaceDN w:val="0"/>
        <w:adjustRightInd w:val="0"/>
        <w:snapToGrid w:val="0"/>
        <w:spacing w:line="360" w:lineRule="auto"/>
        <w:rPr>
          <w:b/>
          <w:bCs/>
          <w:snapToGrid w:val="0"/>
          <w:color w:val="000000"/>
          <w:kern w:val="0"/>
          <w:sz w:val="32"/>
          <w:szCs w:val="32"/>
        </w:rPr>
      </w:pPr>
      <w:r>
        <w:rPr>
          <w:rFonts w:hint="eastAsia"/>
          <w:snapToGrid w:val="0"/>
          <w:kern w:val="0"/>
          <w:sz w:val="24"/>
        </w:rPr>
        <w:t>附表三：</w:t>
      </w:r>
    </w:p>
    <w:p>
      <w:pPr>
        <w:overflowPunct w:val="0"/>
        <w:adjustRightInd w:val="0"/>
        <w:snapToGrid w:val="0"/>
        <w:jc w:val="center"/>
        <w:rPr>
          <w:b/>
          <w:bCs/>
          <w:snapToGrid w:val="0"/>
          <w:kern w:val="0"/>
          <w:sz w:val="36"/>
          <w:szCs w:val="36"/>
        </w:rPr>
      </w:pPr>
      <w:r>
        <w:rPr>
          <w:rFonts w:hint="eastAsia"/>
          <w:b/>
          <w:bCs/>
          <w:snapToGrid w:val="0"/>
          <w:kern w:val="0"/>
          <w:sz w:val="36"/>
          <w:szCs w:val="36"/>
        </w:rPr>
        <w:t>浙南产业集聚区</w:t>
      </w:r>
      <w:r>
        <w:rPr>
          <w:b/>
          <w:bCs/>
          <w:snapToGrid w:val="0"/>
          <w:kern w:val="0"/>
          <w:sz w:val="36"/>
          <w:szCs w:val="36"/>
        </w:rPr>
        <w:t>20</w:t>
      </w:r>
      <w:r>
        <w:rPr>
          <w:rFonts w:hint="eastAsia"/>
          <w:b/>
          <w:bCs/>
          <w:snapToGrid w:val="0"/>
          <w:kern w:val="0"/>
          <w:sz w:val="36"/>
          <w:szCs w:val="36"/>
        </w:rPr>
        <w:t>20年国有资本经营</w:t>
      </w:r>
    </w:p>
    <w:p>
      <w:pPr>
        <w:overflowPunct w:val="0"/>
        <w:adjustRightInd w:val="0"/>
        <w:snapToGrid w:val="0"/>
        <w:jc w:val="center"/>
        <w:rPr>
          <w:b/>
          <w:bCs/>
          <w:snapToGrid w:val="0"/>
          <w:kern w:val="0"/>
          <w:sz w:val="36"/>
          <w:szCs w:val="36"/>
        </w:rPr>
      </w:pPr>
      <w:r>
        <w:rPr>
          <w:rFonts w:hint="eastAsia"/>
          <w:b/>
          <w:bCs/>
          <w:snapToGrid w:val="0"/>
          <w:kern w:val="0"/>
          <w:sz w:val="36"/>
          <w:szCs w:val="36"/>
        </w:rPr>
        <w:t>收支预算表</w:t>
      </w:r>
    </w:p>
    <w:p>
      <w:pPr>
        <w:overflowPunct w:val="0"/>
        <w:adjustRightInd w:val="0"/>
        <w:snapToGrid w:val="0"/>
        <w:jc w:val="right"/>
        <w:rPr>
          <w:snapToGrid w:val="0"/>
          <w:color w:val="000000"/>
          <w:kern w:val="0"/>
          <w:sz w:val="24"/>
        </w:rPr>
      </w:pPr>
      <w:r>
        <w:rPr>
          <w:rFonts w:hint="eastAsia"/>
          <w:snapToGrid w:val="0"/>
          <w:color w:val="000000"/>
          <w:kern w:val="0"/>
          <w:sz w:val="24"/>
        </w:rPr>
        <w:t>单位：万元</w:t>
      </w:r>
    </w:p>
    <w:tbl>
      <w:tblPr>
        <w:tblStyle w:val="23"/>
        <w:tblW w:w="0" w:type="auto"/>
        <w:tblInd w:w="93" w:type="dxa"/>
        <w:tblLayout w:type="autofit"/>
        <w:tblCellMar>
          <w:top w:w="0" w:type="dxa"/>
          <w:left w:w="108" w:type="dxa"/>
          <w:bottom w:w="0" w:type="dxa"/>
          <w:right w:w="108" w:type="dxa"/>
        </w:tblCellMar>
      </w:tblPr>
      <w:tblGrid>
        <w:gridCol w:w="3291"/>
        <w:gridCol w:w="1491"/>
        <w:gridCol w:w="2920"/>
        <w:gridCol w:w="1491"/>
      </w:tblGrid>
      <w:tr>
        <w:tblPrEx>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jc w:val="center"/>
              <w:rPr>
                <w:rFonts w:ascii="宋体" w:hAnsi="宋体"/>
                <w:b/>
                <w:bCs/>
                <w:snapToGrid w:val="0"/>
                <w:color w:val="000000"/>
                <w:kern w:val="0"/>
                <w:sz w:val="24"/>
              </w:rPr>
            </w:pPr>
            <w:r>
              <w:rPr>
                <w:rFonts w:hint="eastAsia" w:ascii="宋体" w:hAnsi="宋体"/>
                <w:b/>
                <w:bCs/>
                <w:snapToGrid w:val="0"/>
                <w:color w:val="000000"/>
                <w:kern w:val="0"/>
                <w:sz w:val="24"/>
              </w:rPr>
              <w:t>项目</w:t>
            </w:r>
          </w:p>
        </w:tc>
        <w:tc>
          <w:tcPr>
            <w:tcW w:w="0" w:type="auto"/>
            <w:tcBorders>
              <w:top w:val="single" w:color="auto" w:sz="4" w:space="0"/>
              <w:left w:val="nil"/>
              <w:bottom w:val="single" w:color="auto" w:sz="4" w:space="0"/>
              <w:right w:val="single" w:color="auto" w:sz="4" w:space="0"/>
            </w:tcBorders>
            <w:vAlign w:val="center"/>
          </w:tcPr>
          <w:p>
            <w:pPr>
              <w:overflowPunct w:val="0"/>
              <w:adjustRightInd w:val="0"/>
              <w:snapToGrid w:val="0"/>
              <w:jc w:val="center"/>
              <w:rPr>
                <w:rFonts w:ascii="宋体" w:hAnsi="宋体"/>
                <w:b/>
                <w:bCs/>
                <w:snapToGrid w:val="0"/>
                <w:color w:val="000000"/>
                <w:kern w:val="0"/>
                <w:sz w:val="24"/>
              </w:rPr>
            </w:pPr>
            <w:r>
              <w:rPr>
                <w:rFonts w:ascii="宋体" w:hAnsi="宋体"/>
                <w:b/>
                <w:bCs/>
                <w:snapToGrid w:val="0"/>
                <w:color w:val="000000"/>
                <w:kern w:val="0"/>
                <w:sz w:val="24"/>
              </w:rPr>
              <w:t>20</w:t>
            </w:r>
            <w:r>
              <w:rPr>
                <w:rFonts w:hint="eastAsia" w:ascii="宋体" w:hAnsi="宋体"/>
                <w:b/>
                <w:bCs/>
                <w:snapToGrid w:val="0"/>
                <w:color w:val="000000"/>
                <w:kern w:val="0"/>
                <w:sz w:val="24"/>
              </w:rPr>
              <w:t>20年预算数</w:t>
            </w:r>
          </w:p>
        </w:tc>
        <w:tc>
          <w:tcPr>
            <w:tcW w:w="0" w:type="auto"/>
            <w:tcBorders>
              <w:top w:val="single" w:color="auto" w:sz="4" w:space="0"/>
              <w:left w:val="nil"/>
              <w:bottom w:val="single" w:color="auto" w:sz="4" w:space="0"/>
              <w:right w:val="single" w:color="auto" w:sz="4" w:space="0"/>
            </w:tcBorders>
            <w:vAlign w:val="center"/>
          </w:tcPr>
          <w:p>
            <w:pPr>
              <w:overflowPunct w:val="0"/>
              <w:adjustRightInd w:val="0"/>
              <w:snapToGrid w:val="0"/>
              <w:jc w:val="center"/>
              <w:rPr>
                <w:rFonts w:ascii="宋体" w:hAnsi="宋体"/>
                <w:b/>
                <w:bCs/>
                <w:snapToGrid w:val="0"/>
                <w:color w:val="000000"/>
                <w:kern w:val="0"/>
                <w:sz w:val="24"/>
              </w:rPr>
            </w:pPr>
            <w:r>
              <w:rPr>
                <w:rFonts w:hint="eastAsia" w:ascii="宋体" w:hAnsi="宋体"/>
                <w:b/>
                <w:bCs/>
                <w:snapToGrid w:val="0"/>
                <w:color w:val="000000"/>
                <w:kern w:val="0"/>
                <w:sz w:val="24"/>
              </w:rPr>
              <w:t>项目</w:t>
            </w:r>
          </w:p>
        </w:tc>
        <w:tc>
          <w:tcPr>
            <w:tcW w:w="0" w:type="auto"/>
            <w:tcBorders>
              <w:top w:val="single" w:color="auto" w:sz="4" w:space="0"/>
              <w:left w:val="nil"/>
              <w:bottom w:val="single" w:color="auto" w:sz="4" w:space="0"/>
              <w:right w:val="single" w:color="auto" w:sz="4" w:space="0"/>
            </w:tcBorders>
            <w:vAlign w:val="center"/>
          </w:tcPr>
          <w:p>
            <w:pPr>
              <w:overflowPunct w:val="0"/>
              <w:adjustRightInd w:val="0"/>
              <w:snapToGrid w:val="0"/>
              <w:jc w:val="center"/>
              <w:rPr>
                <w:rFonts w:ascii="宋体" w:hAnsi="宋体"/>
                <w:b/>
                <w:bCs/>
                <w:snapToGrid w:val="0"/>
                <w:color w:val="000000"/>
                <w:kern w:val="0"/>
                <w:sz w:val="24"/>
              </w:rPr>
            </w:pPr>
            <w:r>
              <w:rPr>
                <w:rFonts w:ascii="宋体" w:hAnsi="宋体"/>
                <w:b/>
                <w:bCs/>
                <w:snapToGrid w:val="0"/>
                <w:color w:val="000000"/>
                <w:kern w:val="0"/>
                <w:sz w:val="24"/>
              </w:rPr>
              <w:t>20</w:t>
            </w:r>
            <w:r>
              <w:rPr>
                <w:rFonts w:hint="eastAsia" w:ascii="宋体" w:hAnsi="宋体"/>
                <w:b/>
                <w:bCs/>
                <w:snapToGrid w:val="0"/>
                <w:color w:val="000000"/>
                <w:kern w:val="0"/>
                <w:sz w:val="24"/>
              </w:rPr>
              <w:t>20年预算数</w:t>
            </w:r>
          </w:p>
        </w:tc>
      </w:tr>
      <w:tr>
        <w:trPr>
          <w:trHeight w:val="481" w:hRule="atLeast"/>
        </w:trPr>
        <w:tc>
          <w:tcPr>
            <w:tcW w:w="0" w:type="auto"/>
            <w:tcBorders>
              <w:top w:val="nil"/>
              <w:left w:val="single" w:color="auto" w:sz="4" w:space="0"/>
              <w:bottom w:val="single" w:color="auto" w:sz="4" w:space="0"/>
              <w:right w:val="single" w:color="auto" w:sz="4" w:space="0"/>
            </w:tcBorders>
            <w:vAlign w:val="center"/>
          </w:tcPr>
          <w:p>
            <w:pPr>
              <w:overflowPunct w:val="0"/>
              <w:adjustRightInd w:val="0"/>
              <w:snapToGrid w:val="0"/>
              <w:jc w:val="center"/>
              <w:rPr>
                <w:rFonts w:ascii="宋体" w:hAnsi="宋体"/>
                <w:snapToGrid w:val="0"/>
                <w:color w:val="000000"/>
                <w:kern w:val="0"/>
                <w:sz w:val="24"/>
              </w:rPr>
            </w:pPr>
            <w:r>
              <w:rPr>
                <w:rFonts w:hint="eastAsia" w:ascii="宋体" w:hAnsi="宋体"/>
                <w:snapToGrid w:val="0"/>
                <w:color w:val="000000"/>
                <w:kern w:val="0"/>
                <w:sz w:val="24"/>
              </w:rPr>
              <w:t>收入合计</w:t>
            </w:r>
          </w:p>
        </w:tc>
        <w:tc>
          <w:tcPr>
            <w:tcW w:w="0" w:type="auto"/>
            <w:tcBorders>
              <w:top w:val="nil"/>
              <w:left w:val="nil"/>
              <w:bottom w:val="single" w:color="auto" w:sz="4" w:space="0"/>
              <w:right w:val="single" w:color="auto" w:sz="4" w:space="0"/>
            </w:tcBorders>
            <w:vAlign w:val="center"/>
          </w:tcPr>
          <w:p>
            <w:pPr>
              <w:overflowPunct w:val="0"/>
              <w:adjustRightInd w:val="0"/>
              <w:snapToGrid w:val="0"/>
              <w:jc w:val="center"/>
              <w:rPr>
                <w:rFonts w:ascii="宋体" w:hAnsi="宋体"/>
                <w:snapToGrid w:val="0"/>
                <w:kern w:val="0"/>
                <w:sz w:val="24"/>
              </w:rPr>
            </w:pPr>
            <w:r>
              <w:rPr>
                <w:rFonts w:ascii="宋体" w:hAnsi="宋体"/>
                <w:snapToGrid w:val="0"/>
                <w:kern w:val="0"/>
                <w:sz w:val="24"/>
              </w:rPr>
              <w:t>0</w:t>
            </w:r>
          </w:p>
        </w:tc>
        <w:tc>
          <w:tcPr>
            <w:tcW w:w="0" w:type="auto"/>
            <w:tcBorders>
              <w:top w:val="nil"/>
              <w:left w:val="nil"/>
              <w:bottom w:val="single" w:color="auto" w:sz="4" w:space="0"/>
              <w:right w:val="single" w:color="auto" w:sz="4" w:space="0"/>
            </w:tcBorders>
            <w:vAlign w:val="center"/>
          </w:tcPr>
          <w:p>
            <w:pPr>
              <w:overflowPunct w:val="0"/>
              <w:adjustRightInd w:val="0"/>
              <w:snapToGrid w:val="0"/>
              <w:jc w:val="center"/>
              <w:rPr>
                <w:rFonts w:ascii="宋体" w:hAnsi="宋体"/>
                <w:snapToGrid w:val="0"/>
                <w:color w:val="000000"/>
                <w:kern w:val="0"/>
                <w:sz w:val="24"/>
              </w:rPr>
            </w:pPr>
            <w:r>
              <w:rPr>
                <w:rFonts w:hint="eastAsia" w:ascii="宋体" w:hAnsi="宋体"/>
                <w:snapToGrid w:val="0"/>
                <w:color w:val="000000"/>
                <w:kern w:val="0"/>
                <w:sz w:val="24"/>
              </w:rPr>
              <w:t>支出合计</w:t>
            </w:r>
          </w:p>
        </w:tc>
        <w:tc>
          <w:tcPr>
            <w:tcW w:w="0" w:type="auto"/>
            <w:tcBorders>
              <w:top w:val="nil"/>
              <w:left w:val="nil"/>
              <w:bottom w:val="single" w:color="auto" w:sz="4" w:space="0"/>
              <w:right w:val="single" w:color="auto" w:sz="4" w:space="0"/>
            </w:tcBorders>
            <w:vAlign w:val="center"/>
          </w:tcPr>
          <w:p>
            <w:pPr>
              <w:overflowPunct w:val="0"/>
              <w:adjustRightInd w:val="0"/>
              <w:snapToGrid w:val="0"/>
              <w:jc w:val="center"/>
              <w:rPr>
                <w:rFonts w:ascii="宋体" w:hAnsi="宋体"/>
                <w:snapToGrid w:val="0"/>
                <w:kern w:val="0"/>
                <w:sz w:val="24"/>
              </w:rPr>
            </w:pPr>
            <w:r>
              <w:rPr>
                <w:rFonts w:ascii="宋体" w:hAnsi="宋体"/>
                <w:snapToGrid w:val="0"/>
                <w:kern w:val="0"/>
                <w:sz w:val="24"/>
              </w:rPr>
              <w:t>0</w:t>
            </w:r>
          </w:p>
        </w:tc>
      </w:tr>
      <w:tr>
        <w:tblPrEx>
          <w:tblCellMar>
            <w:top w:w="0" w:type="dxa"/>
            <w:left w:w="108" w:type="dxa"/>
            <w:bottom w:w="0" w:type="dxa"/>
            <w:right w:w="108" w:type="dxa"/>
          </w:tblCellMar>
        </w:tblPrEx>
        <w:trPr>
          <w:trHeight w:val="20" w:hRule="atLeast"/>
        </w:trPr>
        <w:tc>
          <w:tcPr>
            <w:tcW w:w="0" w:type="auto"/>
            <w:tcBorders>
              <w:top w:val="nil"/>
              <w:left w:val="single" w:color="auto" w:sz="4" w:space="0"/>
              <w:bottom w:val="single" w:color="auto" w:sz="4" w:space="0"/>
              <w:right w:val="single" w:color="auto" w:sz="4" w:space="0"/>
            </w:tcBorders>
            <w:vAlign w:val="center"/>
          </w:tcPr>
          <w:p>
            <w:pPr>
              <w:overflowPunct w:val="0"/>
              <w:adjustRightInd w:val="0"/>
              <w:snapToGrid w:val="0"/>
              <w:jc w:val="left"/>
              <w:rPr>
                <w:rFonts w:ascii="宋体" w:hAnsi="宋体"/>
                <w:snapToGrid w:val="0"/>
                <w:color w:val="000000"/>
                <w:kern w:val="0"/>
                <w:sz w:val="24"/>
              </w:rPr>
            </w:pPr>
            <w:r>
              <w:rPr>
                <w:rFonts w:hint="eastAsia" w:ascii="宋体" w:hAnsi="宋体"/>
                <w:snapToGrid w:val="0"/>
                <w:color w:val="000000"/>
                <w:kern w:val="0"/>
                <w:sz w:val="24"/>
              </w:rPr>
              <w:t>一、利润收入</w:t>
            </w:r>
          </w:p>
        </w:tc>
        <w:tc>
          <w:tcPr>
            <w:tcW w:w="0" w:type="auto"/>
            <w:tcBorders>
              <w:top w:val="nil"/>
              <w:left w:val="nil"/>
              <w:bottom w:val="single" w:color="auto" w:sz="4" w:space="0"/>
              <w:right w:val="single" w:color="auto" w:sz="4" w:space="0"/>
            </w:tcBorders>
            <w:vAlign w:val="center"/>
          </w:tcPr>
          <w:p>
            <w:pPr>
              <w:overflowPunct w:val="0"/>
              <w:adjustRightInd w:val="0"/>
              <w:snapToGrid w:val="0"/>
              <w:jc w:val="center"/>
              <w:rPr>
                <w:rFonts w:ascii="宋体" w:hAnsi="宋体"/>
                <w:snapToGrid w:val="0"/>
                <w:kern w:val="0"/>
                <w:sz w:val="24"/>
              </w:rPr>
            </w:pPr>
            <w:r>
              <w:rPr>
                <w:rFonts w:ascii="宋体" w:hAnsi="宋体"/>
                <w:snapToGrid w:val="0"/>
                <w:kern w:val="0"/>
                <w:sz w:val="24"/>
              </w:rPr>
              <w:t>0</w:t>
            </w:r>
          </w:p>
        </w:tc>
        <w:tc>
          <w:tcPr>
            <w:tcW w:w="0" w:type="auto"/>
            <w:tcBorders>
              <w:top w:val="nil"/>
              <w:left w:val="nil"/>
              <w:bottom w:val="single" w:color="auto" w:sz="4" w:space="0"/>
              <w:right w:val="single" w:color="auto" w:sz="4" w:space="0"/>
            </w:tcBorders>
            <w:vAlign w:val="center"/>
          </w:tcPr>
          <w:p>
            <w:pPr>
              <w:overflowPunct w:val="0"/>
              <w:adjustRightInd w:val="0"/>
              <w:snapToGrid w:val="0"/>
              <w:jc w:val="left"/>
              <w:rPr>
                <w:rFonts w:ascii="宋体" w:hAnsi="宋体"/>
                <w:snapToGrid w:val="0"/>
                <w:color w:val="000000"/>
                <w:kern w:val="0"/>
                <w:sz w:val="24"/>
              </w:rPr>
            </w:pPr>
            <w:r>
              <w:rPr>
                <w:rFonts w:hint="eastAsia" w:ascii="宋体" w:hAnsi="宋体"/>
                <w:snapToGrid w:val="0"/>
                <w:color w:val="000000"/>
                <w:kern w:val="0"/>
                <w:sz w:val="24"/>
              </w:rPr>
              <w:t>一、其他国有资本经营预算支出</w:t>
            </w:r>
          </w:p>
        </w:tc>
        <w:tc>
          <w:tcPr>
            <w:tcW w:w="0" w:type="auto"/>
            <w:tcBorders>
              <w:top w:val="nil"/>
              <w:left w:val="nil"/>
              <w:bottom w:val="single" w:color="auto" w:sz="4" w:space="0"/>
              <w:right w:val="single" w:color="auto" w:sz="4" w:space="0"/>
            </w:tcBorders>
            <w:vAlign w:val="center"/>
          </w:tcPr>
          <w:p>
            <w:pPr>
              <w:overflowPunct w:val="0"/>
              <w:adjustRightInd w:val="0"/>
              <w:snapToGrid w:val="0"/>
              <w:jc w:val="center"/>
              <w:rPr>
                <w:rFonts w:ascii="宋体" w:hAnsi="宋体"/>
                <w:snapToGrid w:val="0"/>
                <w:kern w:val="0"/>
                <w:sz w:val="24"/>
              </w:rPr>
            </w:pPr>
            <w:r>
              <w:rPr>
                <w:rFonts w:ascii="宋体" w:hAnsi="宋体"/>
                <w:snapToGrid w:val="0"/>
                <w:kern w:val="0"/>
                <w:sz w:val="24"/>
              </w:rPr>
              <w:t>0</w:t>
            </w:r>
          </w:p>
        </w:tc>
      </w:tr>
      <w:tr>
        <w:tblPrEx>
          <w:tblCellMar>
            <w:top w:w="0" w:type="dxa"/>
            <w:left w:w="108" w:type="dxa"/>
            <w:bottom w:w="0" w:type="dxa"/>
            <w:right w:w="108" w:type="dxa"/>
          </w:tblCellMar>
        </w:tblPrEx>
        <w:trPr>
          <w:trHeight w:val="20" w:hRule="atLeast"/>
        </w:trPr>
        <w:tc>
          <w:tcPr>
            <w:tcW w:w="0" w:type="auto"/>
            <w:tcBorders>
              <w:top w:val="nil"/>
              <w:left w:val="single" w:color="auto" w:sz="4" w:space="0"/>
              <w:bottom w:val="single" w:color="auto" w:sz="4" w:space="0"/>
              <w:right w:val="single" w:color="auto" w:sz="4" w:space="0"/>
            </w:tcBorders>
            <w:vAlign w:val="center"/>
          </w:tcPr>
          <w:p>
            <w:pPr>
              <w:overflowPunct w:val="0"/>
              <w:adjustRightInd w:val="0"/>
              <w:snapToGrid w:val="0"/>
              <w:jc w:val="left"/>
              <w:rPr>
                <w:rFonts w:ascii="宋体" w:hAnsi="宋体"/>
                <w:snapToGrid w:val="0"/>
                <w:color w:val="000000"/>
                <w:kern w:val="0"/>
                <w:sz w:val="24"/>
              </w:rPr>
            </w:pPr>
            <w:r>
              <w:rPr>
                <w:rFonts w:hint="eastAsia" w:ascii="宋体" w:hAnsi="宋体"/>
                <w:snapToGrid w:val="0"/>
                <w:color w:val="000000"/>
                <w:kern w:val="0"/>
                <w:sz w:val="24"/>
              </w:rPr>
              <w:t>其他国有资本经营预算企业利润收入</w:t>
            </w:r>
          </w:p>
        </w:tc>
        <w:tc>
          <w:tcPr>
            <w:tcW w:w="0" w:type="auto"/>
            <w:tcBorders>
              <w:top w:val="nil"/>
              <w:left w:val="nil"/>
              <w:bottom w:val="single" w:color="auto" w:sz="4" w:space="0"/>
              <w:right w:val="single" w:color="auto" w:sz="4" w:space="0"/>
            </w:tcBorders>
            <w:vAlign w:val="center"/>
          </w:tcPr>
          <w:p>
            <w:pPr>
              <w:overflowPunct w:val="0"/>
              <w:adjustRightInd w:val="0"/>
              <w:snapToGrid w:val="0"/>
              <w:jc w:val="center"/>
              <w:rPr>
                <w:rFonts w:ascii="宋体" w:hAnsi="宋体"/>
                <w:snapToGrid w:val="0"/>
                <w:kern w:val="0"/>
                <w:sz w:val="24"/>
              </w:rPr>
            </w:pPr>
            <w:r>
              <w:rPr>
                <w:rFonts w:ascii="宋体" w:hAnsi="宋体"/>
                <w:snapToGrid w:val="0"/>
                <w:kern w:val="0"/>
                <w:sz w:val="24"/>
              </w:rPr>
              <w:t>0</w:t>
            </w:r>
          </w:p>
        </w:tc>
        <w:tc>
          <w:tcPr>
            <w:tcW w:w="0" w:type="auto"/>
            <w:tcBorders>
              <w:top w:val="nil"/>
              <w:left w:val="nil"/>
              <w:bottom w:val="single" w:color="auto" w:sz="4" w:space="0"/>
              <w:right w:val="single" w:color="auto" w:sz="4" w:space="0"/>
            </w:tcBorders>
            <w:vAlign w:val="center"/>
          </w:tcPr>
          <w:p>
            <w:pPr>
              <w:overflowPunct w:val="0"/>
              <w:adjustRightInd w:val="0"/>
              <w:snapToGrid w:val="0"/>
              <w:jc w:val="left"/>
              <w:rPr>
                <w:rFonts w:ascii="宋体" w:hAnsi="宋体"/>
                <w:snapToGrid w:val="0"/>
                <w:color w:val="000000"/>
                <w:kern w:val="0"/>
                <w:sz w:val="24"/>
              </w:rPr>
            </w:pPr>
            <w:r>
              <w:rPr>
                <w:rFonts w:hint="eastAsia" w:ascii="宋体" w:hAnsi="宋体"/>
                <w:snapToGrid w:val="0"/>
                <w:color w:val="000000"/>
                <w:kern w:val="0"/>
                <w:sz w:val="24"/>
              </w:rPr>
              <w:t>　</w:t>
            </w:r>
          </w:p>
        </w:tc>
        <w:tc>
          <w:tcPr>
            <w:tcW w:w="0" w:type="auto"/>
            <w:tcBorders>
              <w:top w:val="nil"/>
              <w:left w:val="nil"/>
              <w:bottom w:val="single" w:color="auto" w:sz="4" w:space="0"/>
              <w:right w:val="single" w:color="auto" w:sz="4" w:space="0"/>
            </w:tcBorders>
            <w:vAlign w:val="center"/>
          </w:tcPr>
          <w:p>
            <w:pPr>
              <w:overflowPunct w:val="0"/>
              <w:adjustRightInd w:val="0"/>
              <w:snapToGrid w:val="0"/>
              <w:jc w:val="center"/>
              <w:rPr>
                <w:rFonts w:ascii="宋体" w:hAnsi="宋体"/>
                <w:snapToGrid w:val="0"/>
                <w:kern w:val="0"/>
                <w:sz w:val="24"/>
              </w:rPr>
            </w:pPr>
            <w:r>
              <w:rPr>
                <w:rFonts w:ascii="宋体" w:hAnsi="宋体"/>
                <w:snapToGrid w:val="0"/>
                <w:kern w:val="0"/>
                <w:sz w:val="24"/>
              </w:rPr>
              <w:t>0</w:t>
            </w:r>
          </w:p>
        </w:tc>
      </w:tr>
    </w:tbl>
    <w:p>
      <w:pPr>
        <w:overflowPunct w:val="0"/>
        <w:autoSpaceDE w:val="0"/>
        <w:autoSpaceDN w:val="0"/>
        <w:adjustRightInd w:val="0"/>
        <w:snapToGrid w:val="0"/>
        <w:spacing w:line="360" w:lineRule="auto"/>
        <w:rPr>
          <w:snapToGrid w:val="0"/>
          <w:kern w:val="0"/>
          <w:sz w:val="24"/>
        </w:rPr>
      </w:pPr>
      <w:r>
        <w:rPr>
          <w:rFonts w:hint="eastAsia"/>
          <w:snapToGrid w:val="0"/>
          <w:kern w:val="0"/>
          <w:sz w:val="24"/>
        </w:rPr>
        <w:t>备注：预计2020年国有企业无利润上缴，故本表无数据。</w:t>
      </w:r>
    </w:p>
    <w:p>
      <w:pPr>
        <w:overflowPunct w:val="0"/>
        <w:autoSpaceDE w:val="0"/>
        <w:autoSpaceDN w:val="0"/>
        <w:adjustRightInd w:val="0"/>
        <w:snapToGrid w:val="0"/>
        <w:spacing w:line="360" w:lineRule="auto"/>
        <w:rPr>
          <w:snapToGrid w:val="0"/>
          <w:kern w:val="0"/>
          <w:sz w:val="24"/>
        </w:rPr>
      </w:pPr>
    </w:p>
    <w:p>
      <w:pPr>
        <w:overflowPunct w:val="0"/>
        <w:autoSpaceDE w:val="0"/>
        <w:autoSpaceDN w:val="0"/>
        <w:adjustRightInd w:val="0"/>
        <w:snapToGrid w:val="0"/>
        <w:spacing w:line="360" w:lineRule="auto"/>
        <w:rPr>
          <w:snapToGrid w:val="0"/>
          <w:kern w:val="0"/>
          <w:sz w:val="24"/>
        </w:rPr>
      </w:pPr>
    </w:p>
    <w:p>
      <w:pPr>
        <w:overflowPunct w:val="0"/>
        <w:autoSpaceDE w:val="0"/>
        <w:autoSpaceDN w:val="0"/>
        <w:adjustRightInd w:val="0"/>
        <w:snapToGrid w:val="0"/>
        <w:spacing w:line="360" w:lineRule="auto"/>
        <w:rPr>
          <w:snapToGrid w:val="0"/>
          <w:kern w:val="0"/>
          <w:sz w:val="24"/>
        </w:rPr>
      </w:pPr>
      <w:r>
        <w:rPr>
          <w:rFonts w:hint="eastAsia"/>
          <w:snapToGrid w:val="0"/>
          <w:kern w:val="0"/>
          <w:sz w:val="24"/>
        </w:rPr>
        <w:t>附表四：</w:t>
      </w:r>
    </w:p>
    <w:p>
      <w:pPr>
        <w:overflowPunct w:val="0"/>
        <w:adjustRightInd w:val="0"/>
        <w:snapToGrid w:val="0"/>
        <w:jc w:val="center"/>
        <w:rPr>
          <w:b/>
          <w:bCs/>
          <w:snapToGrid w:val="0"/>
          <w:kern w:val="0"/>
          <w:sz w:val="36"/>
          <w:szCs w:val="36"/>
        </w:rPr>
      </w:pPr>
      <w:r>
        <w:rPr>
          <w:rFonts w:hint="eastAsia"/>
          <w:b/>
          <w:bCs/>
          <w:snapToGrid w:val="0"/>
          <w:kern w:val="0"/>
          <w:sz w:val="36"/>
          <w:szCs w:val="36"/>
        </w:rPr>
        <w:t>浙南产业集聚区</w:t>
      </w:r>
      <w:r>
        <w:rPr>
          <w:b/>
          <w:bCs/>
          <w:snapToGrid w:val="0"/>
          <w:kern w:val="0"/>
          <w:sz w:val="36"/>
          <w:szCs w:val="36"/>
        </w:rPr>
        <w:t>20</w:t>
      </w:r>
      <w:r>
        <w:rPr>
          <w:rFonts w:hint="eastAsia"/>
          <w:b/>
          <w:bCs/>
          <w:snapToGrid w:val="0"/>
          <w:kern w:val="0"/>
          <w:sz w:val="36"/>
          <w:szCs w:val="36"/>
        </w:rPr>
        <w:t>20年社会保险基金</w:t>
      </w:r>
    </w:p>
    <w:p>
      <w:pPr>
        <w:overflowPunct w:val="0"/>
        <w:adjustRightInd w:val="0"/>
        <w:snapToGrid w:val="0"/>
        <w:jc w:val="center"/>
        <w:rPr>
          <w:b/>
          <w:bCs/>
          <w:snapToGrid w:val="0"/>
          <w:kern w:val="0"/>
          <w:sz w:val="36"/>
          <w:szCs w:val="36"/>
        </w:rPr>
      </w:pPr>
      <w:r>
        <w:rPr>
          <w:rFonts w:hint="eastAsia"/>
          <w:b/>
          <w:bCs/>
          <w:snapToGrid w:val="0"/>
          <w:kern w:val="0"/>
          <w:sz w:val="36"/>
          <w:szCs w:val="36"/>
        </w:rPr>
        <w:t>收支预算表</w:t>
      </w:r>
    </w:p>
    <w:p>
      <w:pPr>
        <w:overflowPunct w:val="0"/>
        <w:adjustRightInd w:val="0"/>
        <w:snapToGrid w:val="0"/>
        <w:spacing w:line="360" w:lineRule="auto"/>
        <w:jc w:val="right"/>
        <w:rPr>
          <w:snapToGrid w:val="0"/>
          <w:color w:val="000000"/>
          <w:kern w:val="0"/>
          <w:szCs w:val="21"/>
        </w:rPr>
      </w:pPr>
      <w:r>
        <w:rPr>
          <w:rFonts w:hint="eastAsia"/>
          <w:snapToGrid w:val="0"/>
          <w:color w:val="000000"/>
          <w:kern w:val="0"/>
          <w:szCs w:val="21"/>
        </w:rPr>
        <w:t>单位：万元</w:t>
      </w:r>
    </w:p>
    <w:tbl>
      <w:tblPr>
        <w:tblStyle w:val="23"/>
        <w:tblW w:w="0" w:type="auto"/>
        <w:tblInd w:w="93" w:type="dxa"/>
        <w:tblLayout w:type="autofit"/>
        <w:tblCellMar>
          <w:top w:w="0" w:type="dxa"/>
          <w:left w:w="108" w:type="dxa"/>
          <w:bottom w:w="0" w:type="dxa"/>
          <w:right w:w="108" w:type="dxa"/>
        </w:tblCellMar>
      </w:tblPr>
      <w:tblGrid>
        <w:gridCol w:w="2930"/>
        <w:gridCol w:w="1688"/>
        <w:gridCol w:w="2487"/>
        <w:gridCol w:w="2088"/>
      </w:tblGrid>
      <w:tr>
        <w:tblPrEx>
          <w:tblCellMar>
            <w:top w:w="0" w:type="dxa"/>
            <w:left w:w="108" w:type="dxa"/>
            <w:bottom w:w="0" w:type="dxa"/>
            <w:right w:w="108" w:type="dxa"/>
          </w:tblCellMar>
        </w:tblPrEx>
        <w:trPr>
          <w:trHeight w:val="20" w:hRule="atLeast"/>
        </w:trPr>
        <w:tc>
          <w:tcPr>
            <w:tcW w:w="2930" w:type="dxa"/>
            <w:tcBorders>
              <w:top w:val="single" w:color="000000" w:sz="8" w:space="0"/>
              <w:left w:val="single" w:color="000000" w:sz="8" w:space="0"/>
              <w:bottom w:val="single" w:color="000000" w:sz="8" w:space="0"/>
              <w:right w:val="single" w:color="000000" w:sz="8" w:space="0"/>
            </w:tcBorders>
            <w:vAlign w:val="center"/>
          </w:tcPr>
          <w:p>
            <w:pPr>
              <w:overflowPunct w:val="0"/>
              <w:adjustRightInd w:val="0"/>
              <w:snapToGrid w:val="0"/>
              <w:jc w:val="center"/>
              <w:rPr>
                <w:rFonts w:ascii="宋体" w:hAnsi="宋体"/>
                <w:b/>
                <w:bCs/>
                <w:snapToGrid w:val="0"/>
                <w:color w:val="000000"/>
                <w:kern w:val="0"/>
                <w:sz w:val="24"/>
              </w:rPr>
            </w:pPr>
            <w:r>
              <w:rPr>
                <w:rFonts w:hint="eastAsia" w:ascii="宋体" w:hAnsi="宋体"/>
                <w:b/>
                <w:bCs/>
                <w:snapToGrid w:val="0"/>
                <w:color w:val="000000"/>
                <w:kern w:val="0"/>
                <w:sz w:val="24"/>
              </w:rPr>
              <w:t>项目</w:t>
            </w:r>
          </w:p>
        </w:tc>
        <w:tc>
          <w:tcPr>
            <w:tcW w:w="1688" w:type="dxa"/>
            <w:tcBorders>
              <w:top w:val="single" w:color="000000" w:sz="8" w:space="0"/>
              <w:left w:val="nil"/>
              <w:bottom w:val="single" w:color="000000" w:sz="8" w:space="0"/>
              <w:right w:val="single" w:color="000000" w:sz="8" w:space="0"/>
            </w:tcBorders>
            <w:vAlign w:val="center"/>
          </w:tcPr>
          <w:p>
            <w:pPr>
              <w:overflowPunct w:val="0"/>
              <w:adjustRightInd w:val="0"/>
              <w:snapToGrid w:val="0"/>
              <w:jc w:val="center"/>
              <w:rPr>
                <w:rFonts w:ascii="宋体" w:hAnsi="宋体"/>
                <w:b/>
                <w:bCs/>
                <w:snapToGrid w:val="0"/>
                <w:color w:val="000000"/>
                <w:kern w:val="0"/>
                <w:sz w:val="24"/>
              </w:rPr>
            </w:pPr>
            <w:r>
              <w:rPr>
                <w:rFonts w:ascii="宋体" w:hAnsi="宋体"/>
                <w:b/>
                <w:bCs/>
                <w:snapToGrid w:val="0"/>
                <w:color w:val="000000"/>
                <w:kern w:val="0"/>
                <w:sz w:val="24"/>
              </w:rPr>
              <w:t>20</w:t>
            </w:r>
            <w:r>
              <w:rPr>
                <w:rFonts w:hint="eastAsia" w:ascii="宋体" w:hAnsi="宋体"/>
                <w:b/>
                <w:bCs/>
                <w:snapToGrid w:val="0"/>
                <w:color w:val="000000"/>
                <w:kern w:val="0"/>
                <w:sz w:val="24"/>
              </w:rPr>
              <w:t>20年预算数</w:t>
            </w:r>
          </w:p>
        </w:tc>
        <w:tc>
          <w:tcPr>
            <w:tcW w:w="2487" w:type="dxa"/>
            <w:tcBorders>
              <w:top w:val="single" w:color="000000" w:sz="8" w:space="0"/>
              <w:left w:val="nil"/>
              <w:bottom w:val="single" w:color="000000" w:sz="8" w:space="0"/>
              <w:right w:val="single" w:color="000000" w:sz="8" w:space="0"/>
            </w:tcBorders>
            <w:vAlign w:val="center"/>
          </w:tcPr>
          <w:p>
            <w:pPr>
              <w:overflowPunct w:val="0"/>
              <w:adjustRightInd w:val="0"/>
              <w:snapToGrid w:val="0"/>
              <w:jc w:val="center"/>
              <w:rPr>
                <w:rFonts w:ascii="宋体" w:hAnsi="宋体"/>
                <w:b/>
                <w:bCs/>
                <w:snapToGrid w:val="0"/>
                <w:color w:val="000000"/>
                <w:kern w:val="0"/>
                <w:sz w:val="24"/>
              </w:rPr>
            </w:pPr>
            <w:r>
              <w:rPr>
                <w:rFonts w:hint="eastAsia" w:ascii="宋体" w:hAnsi="宋体"/>
                <w:b/>
                <w:bCs/>
                <w:snapToGrid w:val="0"/>
                <w:color w:val="000000"/>
                <w:kern w:val="0"/>
                <w:sz w:val="24"/>
              </w:rPr>
              <w:t>项目</w:t>
            </w:r>
          </w:p>
        </w:tc>
        <w:tc>
          <w:tcPr>
            <w:tcW w:w="2088" w:type="dxa"/>
            <w:tcBorders>
              <w:top w:val="single" w:color="000000" w:sz="8" w:space="0"/>
              <w:left w:val="nil"/>
              <w:bottom w:val="single" w:color="000000" w:sz="8" w:space="0"/>
              <w:right w:val="single" w:color="000000" w:sz="8" w:space="0"/>
            </w:tcBorders>
            <w:vAlign w:val="center"/>
          </w:tcPr>
          <w:p>
            <w:pPr>
              <w:overflowPunct w:val="0"/>
              <w:adjustRightInd w:val="0"/>
              <w:snapToGrid w:val="0"/>
              <w:jc w:val="center"/>
              <w:rPr>
                <w:rFonts w:ascii="宋体" w:hAnsi="宋体"/>
                <w:b/>
                <w:bCs/>
                <w:snapToGrid w:val="0"/>
                <w:color w:val="000000"/>
                <w:kern w:val="0"/>
                <w:sz w:val="24"/>
              </w:rPr>
            </w:pPr>
            <w:r>
              <w:rPr>
                <w:rFonts w:ascii="宋体" w:hAnsi="宋体"/>
                <w:b/>
                <w:bCs/>
                <w:snapToGrid w:val="0"/>
                <w:color w:val="000000"/>
                <w:kern w:val="0"/>
                <w:sz w:val="24"/>
              </w:rPr>
              <w:t>20</w:t>
            </w:r>
            <w:r>
              <w:rPr>
                <w:rFonts w:hint="eastAsia" w:ascii="宋体" w:hAnsi="宋体"/>
                <w:b/>
                <w:bCs/>
                <w:snapToGrid w:val="0"/>
                <w:color w:val="000000"/>
                <w:kern w:val="0"/>
                <w:sz w:val="24"/>
              </w:rPr>
              <w:t>20年预算数</w:t>
            </w:r>
          </w:p>
        </w:tc>
      </w:tr>
      <w:tr>
        <w:tblPrEx>
          <w:tblCellMar>
            <w:top w:w="0" w:type="dxa"/>
            <w:left w:w="108" w:type="dxa"/>
            <w:bottom w:w="0" w:type="dxa"/>
            <w:right w:w="108" w:type="dxa"/>
          </w:tblCellMar>
        </w:tblPrEx>
        <w:trPr>
          <w:trHeight w:val="454" w:hRule="atLeast"/>
        </w:trPr>
        <w:tc>
          <w:tcPr>
            <w:tcW w:w="2930" w:type="dxa"/>
            <w:tcBorders>
              <w:top w:val="nil"/>
              <w:left w:val="single" w:color="000000" w:sz="8" w:space="0"/>
              <w:bottom w:val="single" w:color="000000" w:sz="8" w:space="0"/>
              <w:right w:val="single" w:color="000000" w:sz="8" w:space="0"/>
            </w:tcBorders>
            <w:vAlign w:val="center"/>
          </w:tcPr>
          <w:p>
            <w:pPr>
              <w:overflowPunct w:val="0"/>
              <w:adjustRightInd w:val="0"/>
              <w:snapToGrid w:val="0"/>
              <w:jc w:val="center"/>
              <w:rPr>
                <w:rFonts w:ascii="宋体" w:hAnsi="宋体"/>
                <w:snapToGrid w:val="0"/>
                <w:color w:val="000000"/>
                <w:kern w:val="0"/>
                <w:sz w:val="24"/>
              </w:rPr>
            </w:pPr>
            <w:r>
              <w:rPr>
                <w:rFonts w:hint="eastAsia" w:ascii="宋体" w:hAnsi="宋体"/>
                <w:snapToGrid w:val="0"/>
                <w:color w:val="000000"/>
                <w:kern w:val="0"/>
                <w:sz w:val="24"/>
              </w:rPr>
              <w:t>收入合计</w:t>
            </w:r>
          </w:p>
        </w:tc>
        <w:tc>
          <w:tcPr>
            <w:tcW w:w="1688" w:type="dxa"/>
            <w:tcBorders>
              <w:top w:val="nil"/>
              <w:left w:val="nil"/>
              <w:bottom w:val="single" w:color="000000" w:sz="8" w:space="0"/>
              <w:right w:val="single" w:color="000000" w:sz="8" w:space="0"/>
            </w:tcBorders>
            <w:vAlign w:val="center"/>
          </w:tcPr>
          <w:p>
            <w:pPr>
              <w:overflowPunct w:val="0"/>
              <w:adjustRightInd w:val="0"/>
              <w:snapToGrid w:val="0"/>
              <w:jc w:val="center"/>
              <w:rPr>
                <w:rFonts w:ascii="宋体" w:hAnsi="宋体"/>
                <w:snapToGrid w:val="0"/>
                <w:color w:val="000000"/>
                <w:kern w:val="0"/>
                <w:sz w:val="24"/>
              </w:rPr>
            </w:pPr>
            <w:r>
              <w:rPr>
                <w:rFonts w:ascii="宋体" w:hAnsi="宋体"/>
                <w:snapToGrid w:val="0"/>
                <w:color w:val="000000"/>
                <w:kern w:val="0"/>
                <w:sz w:val="24"/>
              </w:rPr>
              <w:t>0</w:t>
            </w:r>
          </w:p>
        </w:tc>
        <w:tc>
          <w:tcPr>
            <w:tcW w:w="2487" w:type="dxa"/>
            <w:tcBorders>
              <w:top w:val="nil"/>
              <w:left w:val="nil"/>
              <w:bottom w:val="single" w:color="000000" w:sz="8" w:space="0"/>
              <w:right w:val="single" w:color="000000" w:sz="8" w:space="0"/>
            </w:tcBorders>
            <w:vAlign w:val="center"/>
          </w:tcPr>
          <w:p>
            <w:pPr>
              <w:overflowPunct w:val="0"/>
              <w:adjustRightInd w:val="0"/>
              <w:snapToGrid w:val="0"/>
              <w:jc w:val="center"/>
              <w:rPr>
                <w:rFonts w:ascii="宋体" w:hAnsi="宋体"/>
                <w:snapToGrid w:val="0"/>
                <w:color w:val="000000"/>
                <w:kern w:val="0"/>
                <w:sz w:val="24"/>
              </w:rPr>
            </w:pPr>
            <w:r>
              <w:rPr>
                <w:rFonts w:hint="eastAsia" w:ascii="宋体" w:hAnsi="宋体"/>
                <w:snapToGrid w:val="0"/>
                <w:color w:val="000000"/>
                <w:kern w:val="0"/>
                <w:sz w:val="24"/>
              </w:rPr>
              <w:t>支出合计</w:t>
            </w:r>
          </w:p>
        </w:tc>
        <w:tc>
          <w:tcPr>
            <w:tcW w:w="2088" w:type="dxa"/>
            <w:tcBorders>
              <w:top w:val="nil"/>
              <w:left w:val="nil"/>
              <w:bottom w:val="single" w:color="000000" w:sz="8" w:space="0"/>
              <w:right w:val="single" w:color="000000" w:sz="8" w:space="0"/>
            </w:tcBorders>
            <w:vAlign w:val="center"/>
          </w:tcPr>
          <w:p>
            <w:pPr>
              <w:overflowPunct w:val="0"/>
              <w:adjustRightInd w:val="0"/>
              <w:snapToGrid w:val="0"/>
              <w:jc w:val="center"/>
              <w:rPr>
                <w:rFonts w:ascii="宋体" w:hAnsi="宋体"/>
                <w:snapToGrid w:val="0"/>
                <w:color w:val="000000"/>
                <w:kern w:val="0"/>
                <w:sz w:val="24"/>
              </w:rPr>
            </w:pPr>
            <w:r>
              <w:rPr>
                <w:rFonts w:ascii="宋体" w:hAnsi="宋体"/>
                <w:snapToGrid w:val="0"/>
                <w:color w:val="000000"/>
                <w:kern w:val="0"/>
                <w:sz w:val="24"/>
              </w:rPr>
              <w:t>0</w:t>
            </w:r>
          </w:p>
        </w:tc>
      </w:tr>
      <w:tr>
        <w:tblPrEx>
          <w:tblCellMar>
            <w:top w:w="0" w:type="dxa"/>
            <w:left w:w="108" w:type="dxa"/>
            <w:bottom w:w="0" w:type="dxa"/>
            <w:right w:w="108" w:type="dxa"/>
          </w:tblCellMar>
        </w:tblPrEx>
        <w:trPr>
          <w:trHeight w:val="454" w:hRule="atLeast"/>
        </w:trPr>
        <w:tc>
          <w:tcPr>
            <w:tcW w:w="2930" w:type="dxa"/>
            <w:tcBorders>
              <w:top w:val="nil"/>
              <w:left w:val="single" w:color="000000" w:sz="8" w:space="0"/>
              <w:bottom w:val="single" w:color="000000" w:sz="8" w:space="0"/>
              <w:right w:val="single" w:color="000000" w:sz="8" w:space="0"/>
            </w:tcBorders>
            <w:vAlign w:val="center"/>
          </w:tcPr>
          <w:p>
            <w:pPr>
              <w:overflowPunct w:val="0"/>
              <w:adjustRightInd w:val="0"/>
              <w:snapToGrid w:val="0"/>
              <w:jc w:val="center"/>
              <w:rPr>
                <w:rFonts w:ascii="宋体" w:hAnsi="宋体"/>
                <w:snapToGrid w:val="0"/>
                <w:color w:val="000000"/>
                <w:kern w:val="0"/>
                <w:sz w:val="24"/>
              </w:rPr>
            </w:pPr>
            <w:r>
              <w:rPr>
                <w:rFonts w:hint="eastAsia" w:ascii="宋体" w:hAnsi="宋体"/>
                <w:snapToGrid w:val="0"/>
                <w:color w:val="000000"/>
                <w:kern w:val="0"/>
                <w:sz w:val="24"/>
              </w:rPr>
              <w:t>一、社会保险基金收入</w:t>
            </w:r>
          </w:p>
        </w:tc>
        <w:tc>
          <w:tcPr>
            <w:tcW w:w="1688" w:type="dxa"/>
            <w:tcBorders>
              <w:top w:val="nil"/>
              <w:left w:val="nil"/>
              <w:bottom w:val="single" w:color="000000" w:sz="8" w:space="0"/>
              <w:right w:val="single" w:color="000000" w:sz="8" w:space="0"/>
            </w:tcBorders>
            <w:vAlign w:val="center"/>
          </w:tcPr>
          <w:p>
            <w:pPr>
              <w:overflowPunct w:val="0"/>
              <w:adjustRightInd w:val="0"/>
              <w:snapToGrid w:val="0"/>
              <w:jc w:val="center"/>
              <w:rPr>
                <w:rFonts w:ascii="宋体" w:hAnsi="宋体"/>
                <w:snapToGrid w:val="0"/>
                <w:color w:val="000000"/>
                <w:kern w:val="0"/>
                <w:sz w:val="24"/>
              </w:rPr>
            </w:pPr>
            <w:r>
              <w:rPr>
                <w:rFonts w:ascii="宋体" w:hAnsi="宋体"/>
                <w:snapToGrid w:val="0"/>
                <w:color w:val="000000"/>
                <w:kern w:val="0"/>
                <w:sz w:val="24"/>
              </w:rPr>
              <w:t>0</w:t>
            </w:r>
          </w:p>
        </w:tc>
        <w:tc>
          <w:tcPr>
            <w:tcW w:w="2487" w:type="dxa"/>
            <w:tcBorders>
              <w:top w:val="nil"/>
              <w:left w:val="nil"/>
              <w:bottom w:val="single" w:color="000000" w:sz="8" w:space="0"/>
              <w:right w:val="single" w:color="000000" w:sz="8" w:space="0"/>
            </w:tcBorders>
            <w:vAlign w:val="center"/>
          </w:tcPr>
          <w:p>
            <w:pPr>
              <w:overflowPunct w:val="0"/>
              <w:adjustRightInd w:val="0"/>
              <w:snapToGrid w:val="0"/>
              <w:jc w:val="center"/>
              <w:rPr>
                <w:rFonts w:ascii="宋体" w:hAnsi="宋体"/>
                <w:snapToGrid w:val="0"/>
                <w:color w:val="000000"/>
                <w:kern w:val="0"/>
                <w:sz w:val="24"/>
              </w:rPr>
            </w:pPr>
            <w:r>
              <w:rPr>
                <w:rFonts w:hint="eastAsia" w:ascii="宋体" w:hAnsi="宋体"/>
                <w:snapToGrid w:val="0"/>
                <w:color w:val="000000"/>
                <w:kern w:val="0"/>
                <w:sz w:val="24"/>
              </w:rPr>
              <w:t>一、社会保险基金支出</w:t>
            </w:r>
          </w:p>
        </w:tc>
        <w:tc>
          <w:tcPr>
            <w:tcW w:w="2088" w:type="dxa"/>
            <w:tcBorders>
              <w:top w:val="nil"/>
              <w:left w:val="nil"/>
              <w:bottom w:val="single" w:color="000000" w:sz="8" w:space="0"/>
              <w:right w:val="single" w:color="000000" w:sz="8" w:space="0"/>
            </w:tcBorders>
            <w:vAlign w:val="center"/>
          </w:tcPr>
          <w:p>
            <w:pPr>
              <w:overflowPunct w:val="0"/>
              <w:adjustRightInd w:val="0"/>
              <w:snapToGrid w:val="0"/>
              <w:jc w:val="center"/>
              <w:rPr>
                <w:rFonts w:ascii="宋体" w:hAnsi="宋体"/>
                <w:snapToGrid w:val="0"/>
                <w:color w:val="000000"/>
                <w:kern w:val="0"/>
                <w:sz w:val="24"/>
              </w:rPr>
            </w:pPr>
            <w:r>
              <w:rPr>
                <w:rFonts w:ascii="宋体" w:hAnsi="宋体"/>
                <w:snapToGrid w:val="0"/>
                <w:color w:val="000000"/>
                <w:kern w:val="0"/>
                <w:sz w:val="24"/>
              </w:rPr>
              <w:t>0</w:t>
            </w:r>
          </w:p>
        </w:tc>
      </w:tr>
    </w:tbl>
    <w:p>
      <w:pPr>
        <w:overflowPunct w:val="0"/>
        <w:adjustRightInd w:val="0"/>
        <w:snapToGrid w:val="0"/>
        <w:spacing w:line="360" w:lineRule="auto"/>
        <w:rPr>
          <w:rFonts w:ascii="宋体" w:hAnsi="宋体"/>
          <w:bCs/>
          <w:snapToGrid w:val="0"/>
          <w:kern w:val="0"/>
          <w:sz w:val="24"/>
        </w:rPr>
      </w:pPr>
      <w:r>
        <w:rPr>
          <w:rFonts w:hint="eastAsia" w:ascii="宋体" w:hAnsi="宋体"/>
          <w:bCs/>
          <w:snapToGrid w:val="0"/>
          <w:kern w:val="0"/>
          <w:sz w:val="24"/>
        </w:rPr>
        <w:t>备注：社会保险基金预算并入市级社会保险基金预算，故本表无数据</w:t>
      </w:r>
    </w:p>
    <w:p>
      <w:pPr>
        <w:widowControl/>
        <w:jc w:val="left"/>
        <w:rPr>
          <w:rFonts w:ascii="宋体" w:hAnsi="宋体"/>
          <w:bCs/>
          <w:snapToGrid w:val="0"/>
          <w:kern w:val="0"/>
          <w:sz w:val="24"/>
        </w:rPr>
      </w:pPr>
      <w:r>
        <w:rPr>
          <w:rFonts w:ascii="宋体" w:hAnsi="宋体"/>
          <w:bCs/>
          <w:snapToGrid w:val="0"/>
          <w:kern w:val="0"/>
          <w:sz w:val="24"/>
        </w:rPr>
        <w:br w:type="page"/>
      </w:r>
    </w:p>
    <w:p>
      <w:pPr>
        <w:overflowPunct w:val="0"/>
        <w:adjustRightInd w:val="0"/>
        <w:snapToGrid w:val="0"/>
        <w:spacing w:line="360" w:lineRule="auto"/>
        <w:rPr>
          <w:snapToGrid w:val="0"/>
          <w:kern w:val="0"/>
          <w:sz w:val="24"/>
        </w:rPr>
      </w:pPr>
      <w:r>
        <w:rPr>
          <w:rFonts w:hint="eastAsia"/>
          <w:snapToGrid w:val="0"/>
          <w:kern w:val="0"/>
          <w:sz w:val="24"/>
        </w:rPr>
        <w:t>附表五：</w:t>
      </w:r>
    </w:p>
    <w:p>
      <w:pPr>
        <w:overflowPunct w:val="0"/>
        <w:adjustRightInd w:val="0"/>
        <w:snapToGrid w:val="0"/>
        <w:jc w:val="center"/>
        <w:rPr>
          <w:b/>
          <w:bCs/>
          <w:snapToGrid w:val="0"/>
          <w:kern w:val="0"/>
          <w:sz w:val="32"/>
          <w:szCs w:val="36"/>
        </w:rPr>
      </w:pPr>
      <w:r>
        <w:rPr>
          <w:rFonts w:hint="eastAsia"/>
          <w:b/>
          <w:bCs/>
          <w:snapToGrid w:val="0"/>
          <w:kern w:val="0"/>
          <w:sz w:val="32"/>
          <w:szCs w:val="36"/>
        </w:rPr>
        <w:t>浙南产业集聚区本级</w:t>
      </w:r>
      <w:r>
        <w:rPr>
          <w:b/>
          <w:bCs/>
          <w:snapToGrid w:val="0"/>
          <w:kern w:val="0"/>
          <w:sz w:val="32"/>
          <w:szCs w:val="36"/>
        </w:rPr>
        <w:t>20</w:t>
      </w:r>
      <w:r>
        <w:rPr>
          <w:rFonts w:hint="eastAsia"/>
          <w:b/>
          <w:bCs/>
          <w:snapToGrid w:val="0"/>
          <w:kern w:val="0"/>
          <w:sz w:val="32"/>
          <w:szCs w:val="36"/>
        </w:rPr>
        <w:t>20年一般公共预算</w:t>
      </w:r>
      <w:r>
        <w:rPr>
          <w:b/>
          <w:bCs/>
          <w:snapToGrid w:val="0"/>
          <w:kern w:val="0"/>
          <w:sz w:val="32"/>
          <w:szCs w:val="36"/>
        </w:rPr>
        <w:t>“</w:t>
      </w:r>
      <w:r>
        <w:rPr>
          <w:rFonts w:hint="eastAsia"/>
          <w:b/>
          <w:bCs/>
          <w:snapToGrid w:val="0"/>
          <w:kern w:val="0"/>
          <w:sz w:val="32"/>
          <w:szCs w:val="36"/>
        </w:rPr>
        <w:t>三公</w:t>
      </w:r>
      <w:r>
        <w:rPr>
          <w:b/>
          <w:bCs/>
          <w:snapToGrid w:val="0"/>
          <w:kern w:val="0"/>
          <w:sz w:val="32"/>
          <w:szCs w:val="36"/>
        </w:rPr>
        <w:t>”</w:t>
      </w:r>
      <w:r>
        <w:rPr>
          <w:rFonts w:hint="eastAsia"/>
          <w:b/>
          <w:bCs/>
          <w:snapToGrid w:val="0"/>
          <w:kern w:val="0"/>
          <w:sz w:val="32"/>
          <w:szCs w:val="36"/>
        </w:rPr>
        <w:t>经费预算表</w:t>
      </w:r>
    </w:p>
    <w:p>
      <w:pPr>
        <w:overflowPunct w:val="0"/>
        <w:adjustRightInd w:val="0"/>
        <w:snapToGrid w:val="0"/>
        <w:jc w:val="right"/>
        <w:rPr>
          <w:bCs/>
          <w:snapToGrid w:val="0"/>
          <w:color w:val="000000"/>
          <w:kern w:val="0"/>
          <w:szCs w:val="21"/>
        </w:rPr>
      </w:pPr>
      <w:r>
        <w:rPr>
          <w:rFonts w:hint="eastAsia"/>
          <w:bCs/>
          <w:snapToGrid w:val="0"/>
          <w:color w:val="000000"/>
          <w:kern w:val="0"/>
          <w:sz w:val="24"/>
        </w:rPr>
        <w:t>单位：万元</w:t>
      </w: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1"/>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1" w:type="dxa"/>
            <w:vAlign w:val="center"/>
          </w:tcPr>
          <w:p>
            <w:pPr>
              <w:overflowPunct w:val="0"/>
              <w:adjustRightInd w:val="0"/>
              <w:snapToGrid w:val="0"/>
              <w:jc w:val="center"/>
              <w:rPr>
                <w:bCs/>
                <w:snapToGrid w:val="0"/>
                <w:color w:val="000000"/>
                <w:kern w:val="0"/>
                <w:sz w:val="24"/>
              </w:rPr>
            </w:pPr>
            <w:r>
              <w:rPr>
                <w:rFonts w:hint="eastAsia"/>
                <w:b/>
                <w:bCs/>
                <w:snapToGrid w:val="0"/>
                <w:color w:val="000000"/>
                <w:kern w:val="0"/>
                <w:sz w:val="24"/>
              </w:rPr>
              <w:t>项目</w:t>
            </w:r>
          </w:p>
        </w:tc>
        <w:tc>
          <w:tcPr>
            <w:tcW w:w="2551" w:type="dxa"/>
            <w:vAlign w:val="center"/>
          </w:tcPr>
          <w:p>
            <w:pPr>
              <w:overflowPunct w:val="0"/>
              <w:adjustRightInd w:val="0"/>
              <w:snapToGrid w:val="0"/>
              <w:jc w:val="center"/>
              <w:rPr>
                <w:bCs/>
                <w:snapToGrid w:val="0"/>
                <w:color w:val="000000"/>
                <w:kern w:val="0"/>
                <w:szCs w:val="21"/>
              </w:rPr>
            </w:pPr>
            <w:r>
              <w:rPr>
                <w:rFonts w:hint="eastAsia"/>
                <w:b/>
                <w:bCs/>
                <w:snapToGrid w:val="0"/>
                <w:color w:val="000000"/>
                <w:kern w:val="0"/>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1" w:type="dxa"/>
            <w:vAlign w:val="center"/>
          </w:tcPr>
          <w:p>
            <w:pPr>
              <w:overflowPunct w:val="0"/>
              <w:adjustRightInd w:val="0"/>
              <w:snapToGrid w:val="0"/>
              <w:jc w:val="center"/>
              <w:rPr>
                <w:b/>
                <w:bCs/>
                <w:snapToGrid w:val="0"/>
                <w:color w:val="000000"/>
                <w:kern w:val="0"/>
                <w:sz w:val="24"/>
              </w:rPr>
            </w:pPr>
            <w:r>
              <w:rPr>
                <w:rFonts w:hint="eastAsia"/>
                <w:b/>
                <w:bCs/>
                <w:snapToGrid w:val="0"/>
                <w:color w:val="000000"/>
                <w:kern w:val="0"/>
                <w:sz w:val="24"/>
              </w:rPr>
              <w:t>合计</w:t>
            </w:r>
          </w:p>
        </w:tc>
        <w:tc>
          <w:tcPr>
            <w:tcW w:w="2551" w:type="dxa"/>
            <w:vAlign w:val="center"/>
          </w:tcPr>
          <w:p>
            <w:pPr>
              <w:overflowPunct w:val="0"/>
              <w:adjustRightInd w:val="0"/>
              <w:snapToGrid w:val="0"/>
              <w:jc w:val="center"/>
              <w:rPr>
                <w:snapToGrid w:val="0"/>
                <w:kern w:val="0"/>
                <w:sz w:val="24"/>
              </w:rPr>
            </w:pPr>
            <w:r>
              <w:rPr>
                <w:rFonts w:hint="eastAsia"/>
                <w:snapToGrid w:val="0"/>
                <w:kern w:val="0"/>
                <w:sz w:val="24"/>
              </w:rPr>
              <w:t>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1" w:type="dxa"/>
            <w:vAlign w:val="center"/>
          </w:tcPr>
          <w:p>
            <w:pPr>
              <w:overflowPunct w:val="0"/>
              <w:adjustRightInd w:val="0"/>
              <w:snapToGrid w:val="0"/>
              <w:rPr>
                <w:bCs/>
                <w:snapToGrid w:val="0"/>
                <w:color w:val="000000"/>
                <w:kern w:val="0"/>
                <w:sz w:val="24"/>
              </w:rPr>
            </w:pPr>
            <w:r>
              <w:rPr>
                <w:rFonts w:hint="eastAsia"/>
                <w:bCs/>
                <w:snapToGrid w:val="0"/>
                <w:color w:val="000000"/>
                <w:kern w:val="0"/>
                <w:sz w:val="24"/>
              </w:rPr>
              <w:t>公务接待费</w:t>
            </w:r>
          </w:p>
        </w:tc>
        <w:tc>
          <w:tcPr>
            <w:tcW w:w="2551" w:type="dxa"/>
            <w:vAlign w:val="center"/>
          </w:tcPr>
          <w:p>
            <w:pPr>
              <w:overflowPunct w:val="0"/>
              <w:adjustRightInd w:val="0"/>
              <w:snapToGrid w:val="0"/>
              <w:jc w:val="center"/>
              <w:rPr>
                <w:snapToGrid w:val="0"/>
                <w:kern w:val="0"/>
                <w:sz w:val="24"/>
              </w:rPr>
            </w:pPr>
            <w:r>
              <w:rPr>
                <w:snapToGrid w:val="0"/>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1" w:type="dxa"/>
            <w:vAlign w:val="center"/>
          </w:tcPr>
          <w:p>
            <w:pPr>
              <w:overflowPunct w:val="0"/>
              <w:adjustRightInd w:val="0"/>
              <w:snapToGrid w:val="0"/>
              <w:rPr>
                <w:bCs/>
                <w:snapToGrid w:val="0"/>
                <w:color w:val="000000"/>
                <w:kern w:val="0"/>
                <w:sz w:val="24"/>
              </w:rPr>
            </w:pPr>
            <w:r>
              <w:rPr>
                <w:rFonts w:hint="eastAsia"/>
                <w:bCs/>
                <w:snapToGrid w:val="0"/>
                <w:color w:val="000000"/>
                <w:kern w:val="0"/>
                <w:sz w:val="24"/>
              </w:rPr>
              <w:t>因公出国（境）费</w:t>
            </w:r>
          </w:p>
        </w:tc>
        <w:tc>
          <w:tcPr>
            <w:tcW w:w="2551" w:type="dxa"/>
            <w:vAlign w:val="center"/>
          </w:tcPr>
          <w:p>
            <w:pPr>
              <w:overflowPunct w:val="0"/>
              <w:adjustRightInd w:val="0"/>
              <w:snapToGrid w:val="0"/>
              <w:jc w:val="center"/>
              <w:rPr>
                <w:snapToGrid w:val="0"/>
                <w:kern w:val="0"/>
                <w:sz w:val="24"/>
              </w:rPr>
            </w:pPr>
            <w:r>
              <w:rPr>
                <w:snapToGrid w:val="0"/>
                <w:kern w:val="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1" w:type="dxa"/>
            <w:vAlign w:val="center"/>
          </w:tcPr>
          <w:p>
            <w:pPr>
              <w:overflowPunct w:val="0"/>
              <w:adjustRightInd w:val="0"/>
              <w:snapToGrid w:val="0"/>
              <w:rPr>
                <w:bCs/>
                <w:snapToGrid w:val="0"/>
                <w:color w:val="000000"/>
                <w:kern w:val="0"/>
                <w:sz w:val="24"/>
              </w:rPr>
            </w:pPr>
            <w:r>
              <w:rPr>
                <w:rFonts w:hint="eastAsia"/>
                <w:bCs/>
                <w:snapToGrid w:val="0"/>
                <w:color w:val="000000"/>
                <w:kern w:val="0"/>
                <w:sz w:val="24"/>
              </w:rPr>
              <w:t>公务用车购置及运行维护费</w:t>
            </w:r>
          </w:p>
        </w:tc>
        <w:tc>
          <w:tcPr>
            <w:tcW w:w="2551" w:type="dxa"/>
            <w:vAlign w:val="center"/>
          </w:tcPr>
          <w:p>
            <w:pPr>
              <w:overflowPunct w:val="0"/>
              <w:adjustRightInd w:val="0"/>
              <w:snapToGrid w:val="0"/>
              <w:jc w:val="center"/>
              <w:rPr>
                <w:snapToGrid w:val="0"/>
                <w:kern w:val="0"/>
                <w:sz w:val="24"/>
              </w:rPr>
            </w:pPr>
            <w:r>
              <w:rPr>
                <w:rFonts w:hint="eastAsia"/>
                <w:snapToGrid w:val="0"/>
                <w:kern w:val="0"/>
                <w:sz w:val="24"/>
              </w:rPr>
              <w:t>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1" w:type="dxa"/>
            <w:vAlign w:val="center"/>
          </w:tcPr>
          <w:p>
            <w:pPr>
              <w:overflowPunct w:val="0"/>
              <w:adjustRightInd w:val="0"/>
              <w:snapToGrid w:val="0"/>
              <w:rPr>
                <w:bCs/>
                <w:snapToGrid w:val="0"/>
                <w:color w:val="000000"/>
                <w:kern w:val="0"/>
                <w:sz w:val="24"/>
              </w:rPr>
            </w:pPr>
            <w:r>
              <w:rPr>
                <w:rFonts w:hint="eastAsia"/>
                <w:bCs/>
                <w:snapToGrid w:val="0"/>
                <w:color w:val="000000"/>
                <w:kern w:val="0"/>
                <w:sz w:val="24"/>
              </w:rPr>
              <w:t>其中：公务用车购置费</w:t>
            </w:r>
          </w:p>
        </w:tc>
        <w:tc>
          <w:tcPr>
            <w:tcW w:w="2551" w:type="dxa"/>
            <w:vAlign w:val="center"/>
          </w:tcPr>
          <w:p>
            <w:pPr>
              <w:overflowPunct w:val="0"/>
              <w:adjustRightInd w:val="0"/>
              <w:snapToGrid w:val="0"/>
              <w:jc w:val="center"/>
              <w:rPr>
                <w:snapToGrid w:val="0"/>
                <w:kern w:val="0"/>
                <w:sz w:val="24"/>
              </w:rPr>
            </w:pPr>
            <w:r>
              <w:rPr>
                <w:rFonts w:hint="eastAsia"/>
                <w:snapToGrid w:val="0"/>
                <w:kern w:val="0"/>
                <w:sz w:val="24"/>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1" w:type="dxa"/>
            <w:vAlign w:val="center"/>
          </w:tcPr>
          <w:p>
            <w:pPr>
              <w:overflowPunct w:val="0"/>
              <w:adjustRightInd w:val="0"/>
              <w:snapToGrid w:val="0"/>
              <w:ind w:firstLine="720" w:firstLineChars="300"/>
              <w:rPr>
                <w:bCs/>
                <w:snapToGrid w:val="0"/>
                <w:color w:val="000000"/>
                <w:kern w:val="0"/>
                <w:sz w:val="24"/>
              </w:rPr>
            </w:pPr>
            <w:r>
              <w:rPr>
                <w:rFonts w:hint="eastAsia"/>
                <w:bCs/>
                <w:snapToGrid w:val="0"/>
                <w:color w:val="000000"/>
                <w:kern w:val="0"/>
                <w:sz w:val="24"/>
              </w:rPr>
              <w:t>公务用车运行维护费</w:t>
            </w:r>
          </w:p>
        </w:tc>
        <w:tc>
          <w:tcPr>
            <w:tcW w:w="2551" w:type="dxa"/>
            <w:vAlign w:val="center"/>
          </w:tcPr>
          <w:p>
            <w:pPr>
              <w:overflowPunct w:val="0"/>
              <w:adjustRightInd w:val="0"/>
              <w:snapToGrid w:val="0"/>
              <w:jc w:val="center"/>
              <w:rPr>
                <w:snapToGrid w:val="0"/>
                <w:kern w:val="0"/>
                <w:sz w:val="24"/>
              </w:rPr>
            </w:pPr>
            <w:r>
              <w:rPr>
                <w:snapToGrid w:val="0"/>
                <w:kern w:val="0"/>
                <w:sz w:val="24"/>
              </w:rPr>
              <w:t>500</w:t>
            </w:r>
          </w:p>
        </w:tc>
      </w:tr>
    </w:tbl>
    <w:p>
      <w:pPr>
        <w:overflowPunct w:val="0"/>
        <w:adjustRightInd w:val="0"/>
        <w:snapToGrid w:val="0"/>
        <w:spacing w:line="360" w:lineRule="auto"/>
        <w:rPr>
          <w:snapToGrid w:val="0"/>
          <w:kern w:val="0"/>
          <w:sz w:val="24"/>
        </w:rPr>
      </w:pPr>
    </w:p>
    <w:p>
      <w:pPr>
        <w:overflowPunct w:val="0"/>
        <w:adjustRightInd w:val="0"/>
        <w:snapToGrid w:val="0"/>
        <w:spacing w:line="360" w:lineRule="auto"/>
        <w:rPr>
          <w:snapToGrid w:val="0"/>
          <w:kern w:val="0"/>
          <w:sz w:val="24"/>
        </w:rPr>
      </w:pPr>
      <w:r>
        <w:rPr>
          <w:rFonts w:hint="eastAsia"/>
          <w:snapToGrid w:val="0"/>
          <w:kern w:val="0"/>
          <w:sz w:val="24"/>
        </w:rPr>
        <w:t>附表六</w:t>
      </w:r>
      <w:r>
        <w:rPr>
          <w:snapToGrid w:val="0"/>
          <w:kern w:val="0"/>
          <w:sz w:val="24"/>
        </w:rPr>
        <w:t>-1</w:t>
      </w:r>
      <w:r>
        <w:rPr>
          <w:rFonts w:hint="eastAsia"/>
          <w:snapToGrid w:val="0"/>
          <w:kern w:val="0"/>
          <w:sz w:val="24"/>
        </w:rPr>
        <w:t>：</w:t>
      </w:r>
    </w:p>
    <w:p>
      <w:pPr>
        <w:overflowPunct w:val="0"/>
        <w:adjustRightInd w:val="0"/>
        <w:snapToGrid w:val="0"/>
        <w:jc w:val="center"/>
        <w:rPr>
          <w:b/>
          <w:bCs/>
          <w:snapToGrid w:val="0"/>
          <w:kern w:val="0"/>
          <w:sz w:val="36"/>
          <w:szCs w:val="36"/>
        </w:rPr>
      </w:pPr>
      <w:r>
        <w:rPr>
          <w:rFonts w:hint="eastAsia"/>
          <w:b/>
          <w:bCs/>
          <w:snapToGrid w:val="0"/>
          <w:kern w:val="0"/>
          <w:sz w:val="36"/>
          <w:szCs w:val="36"/>
        </w:rPr>
        <w:t>浙南产业集聚区级</w:t>
      </w:r>
      <w:r>
        <w:rPr>
          <w:b/>
          <w:bCs/>
          <w:snapToGrid w:val="0"/>
          <w:kern w:val="0"/>
          <w:sz w:val="36"/>
          <w:szCs w:val="36"/>
        </w:rPr>
        <w:t>20</w:t>
      </w:r>
      <w:r>
        <w:rPr>
          <w:rFonts w:hint="eastAsia"/>
          <w:b/>
          <w:bCs/>
          <w:snapToGrid w:val="0"/>
          <w:kern w:val="0"/>
          <w:sz w:val="36"/>
          <w:szCs w:val="36"/>
        </w:rPr>
        <w:t>20年地方政府一般债务限额</w:t>
      </w:r>
    </w:p>
    <w:p>
      <w:pPr>
        <w:overflowPunct w:val="0"/>
        <w:adjustRightInd w:val="0"/>
        <w:snapToGrid w:val="0"/>
        <w:jc w:val="center"/>
        <w:rPr>
          <w:b/>
          <w:bCs/>
          <w:snapToGrid w:val="0"/>
          <w:kern w:val="0"/>
          <w:sz w:val="36"/>
          <w:szCs w:val="36"/>
        </w:rPr>
      </w:pPr>
      <w:r>
        <w:rPr>
          <w:rFonts w:hint="eastAsia"/>
          <w:b/>
          <w:bCs/>
          <w:snapToGrid w:val="0"/>
          <w:kern w:val="0"/>
          <w:sz w:val="36"/>
          <w:szCs w:val="36"/>
        </w:rPr>
        <w:t>及余额情况预算表</w:t>
      </w:r>
    </w:p>
    <w:p>
      <w:pPr>
        <w:overflowPunct w:val="0"/>
        <w:adjustRightInd w:val="0"/>
        <w:snapToGrid w:val="0"/>
        <w:jc w:val="right"/>
        <w:rPr>
          <w:rFonts w:eastAsia="方正书宋_GBK"/>
          <w:snapToGrid w:val="0"/>
          <w:color w:val="000000"/>
          <w:kern w:val="0"/>
          <w:sz w:val="24"/>
        </w:rPr>
      </w:pPr>
      <w:r>
        <w:rPr>
          <w:rFonts w:hint="eastAsia"/>
          <w:snapToGrid w:val="0"/>
          <w:color w:val="000000"/>
          <w:kern w:val="0"/>
          <w:sz w:val="24"/>
        </w:rPr>
        <w:t>单位：万元</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4"/>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76" w:type="pct"/>
            <w:vAlign w:val="center"/>
          </w:tcPr>
          <w:p>
            <w:pPr>
              <w:overflowPunct w:val="0"/>
              <w:adjustRightInd w:val="0"/>
              <w:snapToGrid w:val="0"/>
              <w:jc w:val="center"/>
              <w:rPr>
                <w:bCs/>
                <w:snapToGrid w:val="0"/>
                <w:color w:val="000000"/>
                <w:kern w:val="0"/>
                <w:sz w:val="32"/>
                <w:szCs w:val="32"/>
              </w:rPr>
            </w:pPr>
            <w:r>
              <w:rPr>
                <w:rFonts w:hint="eastAsia"/>
                <w:b/>
                <w:bCs/>
                <w:snapToGrid w:val="0"/>
                <w:color w:val="000000"/>
                <w:kern w:val="0"/>
                <w:sz w:val="24"/>
              </w:rPr>
              <w:t>项目</w:t>
            </w:r>
          </w:p>
        </w:tc>
        <w:tc>
          <w:tcPr>
            <w:tcW w:w="1024" w:type="pct"/>
            <w:vAlign w:val="center"/>
          </w:tcPr>
          <w:p>
            <w:pPr>
              <w:overflowPunct w:val="0"/>
              <w:adjustRightInd w:val="0"/>
              <w:snapToGrid w:val="0"/>
              <w:jc w:val="center"/>
              <w:rPr>
                <w:b/>
                <w:bCs/>
                <w:snapToGrid w:val="0"/>
                <w:color w:val="000000"/>
                <w:kern w:val="0"/>
                <w:sz w:val="24"/>
              </w:rPr>
            </w:pPr>
            <w:r>
              <w:rPr>
                <w:b/>
                <w:bCs/>
                <w:snapToGrid w:val="0"/>
                <w:color w:val="000000"/>
                <w:kern w:val="0"/>
                <w:sz w:val="24"/>
              </w:rPr>
              <w:t>20</w:t>
            </w:r>
            <w:r>
              <w:rPr>
                <w:rFonts w:hint="eastAsia"/>
                <w:b/>
                <w:bCs/>
                <w:snapToGrid w:val="0"/>
                <w:color w:val="000000"/>
                <w:kern w:val="0"/>
                <w:sz w:val="24"/>
              </w:rPr>
              <w:t>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76" w:type="pct"/>
            <w:vAlign w:val="center"/>
          </w:tcPr>
          <w:p>
            <w:pPr>
              <w:overflowPunct w:val="0"/>
              <w:adjustRightInd w:val="0"/>
              <w:snapToGrid w:val="0"/>
              <w:jc w:val="left"/>
              <w:rPr>
                <w:bCs/>
                <w:snapToGrid w:val="0"/>
                <w:color w:val="000000"/>
                <w:kern w:val="0"/>
                <w:sz w:val="32"/>
                <w:szCs w:val="32"/>
              </w:rPr>
            </w:pPr>
            <w:r>
              <w:rPr>
                <w:rFonts w:hint="eastAsia"/>
                <w:snapToGrid w:val="0"/>
                <w:color w:val="000000"/>
                <w:kern w:val="0"/>
                <w:sz w:val="24"/>
              </w:rPr>
              <w:t>一、</w:t>
            </w:r>
            <w:r>
              <w:rPr>
                <w:snapToGrid w:val="0"/>
                <w:color w:val="000000"/>
                <w:kern w:val="0"/>
                <w:sz w:val="24"/>
              </w:rPr>
              <w:t>20</w:t>
            </w:r>
            <w:r>
              <w:rPr>
                <w:rFonts w:hint="eastAsia"/>
                <w:snapToGrid w:val="0"/>
                <w:color w:val="000000"/>
                <w:kern w:val="0"/>
                <w:sz w:val="24"/>
              </w:rPr>
              <w:t>20年地方政府一般债务限额</w:t>
            </w:r>
          </w:p>
        </w:tc>
        <w:tc>
          <w:tcPr>
            <w:tcW w:w="1024" w:type="pct"/>
            <w:vAlign w:val="center"/>
          </w:tcPr>
          <w:p>
            <w:pPr>
              <w:overflowPunct w:val="0"/>
              <w:adjustRightInd w:val="0"/>
              <w:snapToGrid w:val="0"/>
              <w:jc w:val="center"/>
              <w:rPr>
                <w:bCs/>
                <w:snapToGrid w:val="0"/>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76" w:type="pct"/>
            <w:vAlign w:val="center"/>
          </w:tcPr>
          <w:p>
            <w:pPr>
              <w:overflowPunct w:val="0"/>
              <w:adjustRightInd w:val="0"/>
              <w:snapToGrid w:val="0"/>
              <w:jc w:val="left"/>
              <w:rPr>
                <w:bCs/>
                <w:snapToGrid w:val="0"/>
                <w:color w:val="000000"/>
                <w:kern w:val="0"/>
                <w:sz w:val="32"/>
                <w:szCs w:val="32"/>
              </w:rPr>
            </w:pPr>
            <w:r>
              <w:rPr>
                <w:rFonts w:hint="eastAsia"/>
                <w:snapToGrid w:val="0"/>
                <w:color w:val="000000"/>
                <w:kern w:val="0"/>
                <w:sz w:val="24"/>
              </w:rPr>
              <w:t>二、</w:t>
            </w:r>
            <w:r>
              <w:rPr>
                <w:snapToGrid w:val="0"/>
                <w:color w:val="000000"/>
                <w:kern w:val="0"/>
                <w:sz w:val="24"/>
              </w:rPr>
              <w:t>20</w:t>
            </w:r>
            <w:r>
              <w:rPr>
                <w:rFonts w:hint="eastAsia"/>
                <w:snapToGrid w:val="0"/>
                <w:color w:val="000000"/>
                <w:kern w:val="0"/>
                <w:sz w:val="24"/>
              </w:rPr>
              <w:t>20年地方政府一般债务余额</w:t>
            </w:r>
          </w:p>
        </w:tc>
        <w:tc>
          <w:tcPr>
            <w:tcW w:w="1024" w:type="pct"/>
            <w:vAlign w:val="center"/>
          </w:tcPr>
          <w:p>
            <w:pPr>
              <w:overflowPunct w:val="0"/>
              <w:adjustRightInd w:val="0"/>
              <w:snapToGrid w:val="0"/>
              <w:jc w:val="center"/>
              <w:rPr>
                <w:bCs/>
                <w:snapToGrid w:val="0"/>
                <w:color w:val="000000"/>
                <w:kern w:val="0"/>
                <w:sz w:val="32"/>
                <w:szCs w:val="32"/>
              </w:rPr>
            </w:pPr>
            <w:r>
              <w:rPr>
                <w:snapToGrid w:val="0"/>
                <w:kern w:val="0"/>
                <w:sz w:val="24"/>
              </w:rPr>
              <w:t>20000</w:t>
            </w:r>
          </w:p>
        </w:tc>
      </w:tr>
    </w:tbl>
    <w:p>
      <w:pPr>
        <w:overflowPunct w:val="0"/>
        <w:adjustRightInd w:val="0"/>
        <w:snapToGrid w:val="0"/>
        <w:spacing w:line="360" w:lineRule="auto"/>
        <w:jc w:val="left"/>
        <w:rPr>
          <w:bCs/>
          <w:snapToGrid w:val="0"/>
          <w:color w:val="000000"/>
          <w:kern w:val="0"/>
          <w:sz w:val="32"/>
          <w:szCs w:val="32"/>
        </w:rPr>
      </w:pPr>
      <w:r>
        <w:rPr>
          <w:rFonts w:hint="eastAsia"/>
          <w:snapToGrid w:val="0"/>
          <w:color w:val="333333"/>
          <w:kern w:val="0"/>
          <w:szCs w:val="21"/>
        </w:rPr>
        <w:t>备注：</w:t>
      </w:r>
      <w:r>
        <w:rPr>
          <w:snapToGrid w:val="0"/>
          <w:color w:val="333333"/>
          <w:kern w:val="0"/>
          <w:szCs w:val="21"/>
        </w:rPr>
        <w:t>20</w:t>
      </w:r>
      <w:r>
        <w:rPr>
          <w:rFonts w:hint="eastAsia"/>
          <w:snapToGrid w:val="0"/>
          <w:color w:val="333333"/>
          <w:kern w:val="0"/>
          <w:szCs w:val="21"/>
        </w:rPr>
        <w:t>20年</w:t>
      </w:r>
      <w:r>
        <w:rPr>
          <w:rFonts w:hint="eastAsia"/>
          <w:snapToGrid w:val="0"/>
          <w:color w:val="000000"/>
          <w:kern w:val="0"/>
          <w:szCs w:val="21"/>
        </w:rPr>
        <w:t>一般</w:t>
      </w:r>
      <w:r>
        <w:rPr>
          <w:rFonts w:hint="eastAsia"/>
          <w:snapToGrid w:val="0"/>
          <w:color w:val="333333"/>
          <w:kern w:val="0"/>
          <w:szCs w:val="21"/>
        </w:rPr>
        <w:t>债务限额以市财政核定的区级债务限额为准，</w:t>
      </w:r>
      <w:r>
        <w:rPr>
          <w:snapToGrid w:val="0"/>
          <w:color w:val="333333"/>
          <w:kern w:val="0"/>
          <w:szCs w:val="21"/>
        </w:rPr>
        <w:t>20</w:t>
      </w:r>
      <w:r>
        <w:rPr>
          <w:rFonts w:hint="eastAsia"/>
          <w:snapToGrid w:val="0"/>
          <w:color w:val="333333"/>
          <w:kern w:val="0"/>
          <w:szCs w:val="21"/>
        </w:rPr>
        <w:t>20年</w:t>
      </w:r>
      <w:r>
        <w:rPr>
          <w:rFonts w:hint="eastAsia"/>
          <w:snapToGrid w:val="0"/>
          <w:color w:val="000000"/>
          <w:kern w:val="0"/>
          <w:szCs w:val="21"/>
        </w:rPr>
        <w:t>一般</w:t>
      </w:r>
      <w:r>
        <w:rPr>
          <w:rFonts w:hint="eastAsia"/>
          <w:snapToGrid w:val="0"/>
          <w:color w:val="333333"/>
          <w:kern w:val="0"/>
          <w:szCs w:val="21"/>
        </w:rPr>
        <w:t>债务余额为预计数</w:t>
      </w:r>
    </w:p>
    <w:p>
      <w:pPr>
        <w:overflowPunct w:val="0"/>
        <w:adjustRightInd w:val="0"/>
        <w:snapToGrid w:val="0"/>
        <w:spacing w:line="360" w:lineRule="auto"/>
        <w:jc w:val="left"/>
        <w:rPr>
          <w:snapToGrid w:val="0"/>
          <w:kern w:val="0"/>
          <w:sz w:val="24"/>
        </w:rPr>
      </w:pPr>
    </w:p>
    <w:p>
      <w:pPr>
        <w:overflowPunct w:val="0"/>
        <w:adjustRightInd w:val="0"/>
        <w:snapToGrid w:val="0"/>
        <w:spacing w:line="360" w:lineRule="auto"/>
        <w:jc w:val="left"/>
        <w:rPr>
          <w:b/>
          <w:bCs/>
          <w:snapToGrid w:val="0"/>
          <w:color w:val="000000"/>
          <w:kern w:val="0"/>
          <w:sz w:val="32"/>
          <w:szCs w:val="32"/>
        </w:rPr>
      </w:pPr>
      <w:r>
        <w:rPr>
          <w:rFonts w:hint="eastAsia"/>
          <w:snapToGrid w:val="0"/>
          <w:kern w:val="0"/>
          <w:sz w:val="24"/>
        </w:rPr>
        <w:t>附表六</w:t>
      </w:r>
      <w:r>
        <w:rPr>
          <w:snapToGrid w:val="0"/>
          <w:kern w:val="0"/>
          <w:sz w:val="24"/>
        </w:rPr>
        <w:t>-2</w:t>
      </w:r>
      <w:r>
        <w:rPr>
          <w:rFonts w:hint="eastAsia"/>
          <w:snapToGrid w:val="0"/>
          <w:kern w:val="0"/>
          <w:sz w:val="24"/>
        </w:rPr>
        <w:t>：</w:t>
      </w:r>
    </w:p>
    <w:p>
      <w:pPr>
        <w:overflowPunct w:val="0"/>
        <w:adjustRightInd w:val="0"/>
        <w:snapToGrid w:val="0"/>
        <w:jc w:val="center"/>
        <w:rPr>
          <w:b/>
          <w:bCs/>
          <w:snapToGrid w:val="0"/>
          <w:kern w:val="0"/>
          <w:sz w:val="36"/>
          <w:szCs w:val="36"/>
        </w:rPr>
      </w:pPr>
      <w:r>
        <w:rPr>
          <w:rFonts w:hint="eastAsia"/>
          <w:b/>
          <w:bCs/>
          <w:snapToGrid w:val="0"/>
          <w:kern w:val="0"/>
          <w:sz w:val="36"/>
          <w:szCs w:val="36"/>
        </w:rPr>
        <w:t>浙南产业集聚区级</w:t>
      </w:r>
      <w:r>
        <w:rPr>
          <w:b/>
          <w:bCs/>
          <w:snapToGrid w:val="0"/>
          <w:kern w:val="0"/>
          <w:sz w:val="36"/>
          <w:szCs w:val="36"/>
        </w:rPr>
        <w:t>20</w:t>
      </w:r>
      <w:r>
        <w:rPr>
          <w:rFonts w:hint="eastAsia"/>
          <w:b/>
          <w:bCs/>
          <w:snapToGrid w:val="0"/>
          <w:kern w:val="0"/>
          <w:sz w:val="36"/>
          <w:szCs w:val="36"/>
        </w:rPr>
        <w:t>20年地方政府专项债务限额</w:t>
      </w:r>
    </w:p>
    <w:p>
      <w:pPr>
        <w:overflowPunct w:val="0"/>
        <w:adjustRightInd w:val="0"/>
        <w:snapToGrid w:val="0"/>
        <w:jc w:val="center"/>
        <w:rPr>
          <w:b/>
          <w:bCs/>
          <w:snapToGrid w:val="0"/>
          <w:kern w:val="0"/>
          <w:sz w:val="36"/>
          <w:szCs w:val="36"/>
        </w:rPr>
      </w:pPr>
      <w:r>
        <w:rPr>
          <w:rFonts w:hint="eastAsia"/>
          <w:b/>
          <w:bCs/>
          <w:snapToGrid w:val="0"/>
          <w:kern w:val="0"/>
          <w:sz w:val="36"/>
          <w:szCs w:val="36"/>
        </w:rPr>
        <w:t>及余额情况预算表</w:t>
      </w:r>
    </w:p>
    <w:p>
      <w:pPr>
        <w:overflowPunct w:val="0"/>
        <w:adjustRightInd w:val="0"/>
        <w:snapToGrid w:val="0"/>
        <w:jc w:val="right"/>
        <w:rPr>
          <w:snapToGrid w:val="0"/>
          <w:color w:val="000000"/>
          <w:kern w:val="0"/>
          <w:sz w:val="24"/>
        </w:rPr>
      </w:pPr>
      <w:r>
        <w:rPr>
          <w:rFonts w:hint="eastAsia"/>
          <w:snapToGrid w:val="0"/>
          <w:color w:val="000000"/>
          <w:kern w:val="0"/>
          <w:sz w:val="24"/>
        </w:rPr>
        <w:t>单位：万元</w:t>
      </w:r>
    </w:p>
    <w:tbl>
      <w:tblPr>
        <w:tblStyle w:val="23"/>
        <w:tblW w:w="5000" w:type="pct"/>
        <w:tblInd w:w="0" w:type="dxa"/>
        <w:tblLayout w:type="autofit"/>
        <w:tblCellMar>
          <w:top w:w="0" w:type="dxa"/>
          <w:left w:w="108" w:type="dxa"/>
          <w:bottom w:w="0" w:type="dxa"/>
          <w:right w:w="108" w:type="dxa"/>
        </w:tblCellMar>
      </w:tblPr>
      <w:tblGrid>
        <w:gridCol w:w="5648"/>
        <w:gridCol w:w="3638"/>
      </w:tblGrid>
      <w:tr>
        <w:tblPrEx>
          <w:tblCellMar>
            <w:top w:w="0" w:type="dxa"/>
            <w:left w:w="108" w:type="dxa"/>
            <w:bottom w:w="0" w:type="dxa"/>
            <w:right w:w="108" w:type="dxa"/>
          </w:tblCellMar>
        </w:tblPrEx>
        <w:trPr>
          <w:trHeight w:val="454" w:hRule="atLeast"/>
        </w:trPr>
        <w:tc>
          <w:tcPr>
            <w:tcW w:w="3041" w:type="pct"/>
            <w:tcBorders>
              <w:top w:val="single" w:color="auto" w:sz="4" w:space="0"/>
              <w:left w:val="single" w:color="auto" w:sz="8" w:space="0"/>
              <w:bottom w:val="single" w:color="auto" w:sz="8" w:space="0"/>
              <w:right w:val="single" w:color="auto" w:sz="8" w:space="0"/>
            </w:tcBorders>
            <w:vAlign w:val="center"/>
          </w:tcPr>
          <w:p>
            <w:pPr>
              <w:overflowPunct w:val="0"/>
              <w:adjustRightInd w:val="0"/>
              <w:snapToGrid w:val="0"/>
              <w:jc w:val="center"/>
              <w:rPr>
                <w:b/>
                <w:bCs/>
                <w:snapToGrid w:val="0"/>
                <w:color w:val="000000"/>
                <w:kern w:val="0"/>
                <w:sz w:val="24"/>
              </w:rPr>
            </w:pPr>
            <w:r>
              <w:rPr>
                <w:rFonts w:hint="eastAsia"/>
                <w:b/>
                <w:bCs/>
                <w:snapToGrid w:val="0"/>
                <w:color w:val="000000"/>
                <w:kern w:val="0"/>
                <w:sz w:val="24"/>
              </w:rPr>
              <w:t>项目</w:t>
            </w:r>
          </w:p>
        </w:tc>
        <w:tc>
          <w:tcPr>
            <w:tcW w:w="1959" w:type="pct"/>
            <w:tcBorders>
              <w:top w:val="single" w:color="auto" w:sz="4" w:space="0"/>
              <w:left w:val="nil"/>
              <w:bottom w:val="single" w:color="auto" w:sz="8" w:space="0"/>
              <w:right w:val="single" w:color="auto" w:sz="8" w:space="0"/>
            </w:tcBorders>
            <w:vAlign w:val="center"/>
          </w:tcPr>
          <w:p>
            <w:pPr>
              <w:overflowPunct w:val="0"/>
              <w:adjustRightInd w:val="0"/>
              <w:snapToGrid w:val="0"/>
              <w:jc w:val="center"/>
              <w:rPr>
                <w:b/>
                <w:bCs/>
                <w:snapToGrid w:val="0"/>
                <w:color w:val="000000"/>
                <w:kern w:val="0"/>
                <w:sz w:val="24"/>
              </w:rPr>
            </w:pPr>
            <w:r>
              <w:rPr>
                <w:b/>
                <w:bCs/>
                <w:snapToGrid w:val="0"/>
                <w:color w:val="000000"/>
                <w:kern w:val="0"/>
                <w:sz w:val="24"/>
              </w:rPr>
              <w:t>20</w:t>
            </w:r>
            <w:r>
              <w:rPr>
                <w:rFonts w:hint="eastAsia"/>
                <w:b/>
                <w:bCs/>
                <w:snapToGrid w:val="0"/>
                <w:color w:val="000000"/>
                <w:kern w:val="0"/>
                <w:sz w:val="24"/>
              </w:rPr>
              <w:t>20年</w:t>
            </w:r>
          </w:p>
        </w:tc>
      </w:tr>
      <w:tr>
        <w:tblPrEx>
          <w:tblCellMar>
            <w:top w:w="0" w:type="dxa"/>
            <w:left w:w="108" w:type="dxa"/>
            <w:bottom w:w="0" w:type="dxa"/>
            <w:right w:w="108" w:type="dxa"/>
          </w:tblCellMar>
        </w:tblPrEx>
        <w:trPr>
          <w:trHeight w:val="454" w:hRule="atLeast"/>
        </w:trPr>
        <w:tc>
          <w:tcPr>
            <w:tcW w:w="3041" w:type="pct"/>
            <w:tcBorders>
              <w:top w:val="nil"/>
              <w:left w:val="single" w:color="auto" w:sz="8" w:space="0"/>
              <w:bottom w:val="single" w:color="auto" w:sz="8" w:space="0"/>
              <w:right w:val="single" w:color="auto" w:sz="8" w:space="0"/>
            </w:tcBorders>
            <w:vAlign w:val="center"/>
          </w:tcPr>
          <w:p>
            <w:pPr>
              <w:overflowPunct w:val="0"/>
              <w:adjustRightInd w:val="0"/>
              <w:snapToGrid w:val="0"/>
              <w:jc w:val="left"/>
              <w:rPr>
                <w:snapToGrid w:val="0"/>
                <w:color w:val="000000"/>
                <w:kern w:val="0"/>
                <w:sz w:val="24"/>
              </w:rPr>
            </w:pPr>
            <w:r>
              <w:rPr>
                <w:rFonts w:hint="eastAsia"/>
                <w:snapToGrid w:val="0"/>
                <w:color w:val="000000"/>
                <w:kern w:val="0"/>
                <w:sz w:val="24"/>
              </w:rPr>
              <w:t>一、</w:t>
            </w:r>
            <w:r>
              <w:rPr>
                <w:snapToGrid w:val="0"/>
                <w:color w:val="000000"/>
                <w:kern w:val="0"/>
                <w:sz w:val="24"/>
              </w:rPr>
              <w:t>20</w:t>
            </w:r>
            <w:r>
              <w:rPr>
                <w:rFonts w:hint="eastAsia"/>
                <w:snapToGrid w:val="0"/>
                <w:color w:val="000000"/>
                <w:kern w:val="0"/>
                <w:sz w:val="24"/>
              </w:rPr>
              <w:t>20年地方政府专项债务限额</w:t>
            </w:r>
          </w:p>
        </w:tc>
        <w:tc>
          <w:tcPr>
            <w:tcW w:w="1959" w:type="pct"/>
            <w:tcBorders>
              <w:top w:val="nil"/>
              <w:left w:val="nil"/>
              <w:bottom w:val="single" w:color="auto" w:sz="8" w:space="0"/>
              <w:right w:val="single" w:color="auto" w:sz="8" w:space="0"/>
            </w:tcBorders>
            <w:vAlign w:val="center"/>
          </w:tcPr>
          <w:p>
            <w:pPr>
              <w:overflowPunct w:val="0"/>
              <w:adjustRightInd w:val="0"/>
              <w:snapToGrid w:val="0"/>
              <w:jc w:val="center"/>
              <w:rPr>
                <w:snapToGrid w:val="0"/>
                <w:color w:val="000000"/>
                <w:kern w:val="0"/>
                <w:sz w:val="24"/>
              </w:rPr>
            </w:pPr>
            <w:r>
              <w:rPr>
                <w:rFonts w:hint="eastAsia"/>
                <w:snapToGrid w:val="0"/>
                <w:color w:val="000000"/>
                <w:kern w:val="0"/>
                <w:sz w:val="24"/>
              </w:rPr>
              <w:t>　</w:t>
            </w:r>
          </w:p>
        </w:tc>
      </w:tr>
      <w:tr>
        <w:tblPrEx>
          <w:tblCellMar>
            <w:top w:w="0" w:type="dxa"/>
            <w:left w:w="108" w:type="dxa"/>
            <w:bottom w:w="0" w:type="dxa"/>
            <w:right w:w="108" w:type="dxa"/>
          </w:tblCellMar>
        </w:tblPrEx>
        <w:trPr>
          <w:trHeight w:val="454" w:hRule="atLeast"/>
        </w:trPr>
        <w:tc>
          <w:tcPr>
            <w:tcW w:w="3041" w:type="pct"/>
            <w:tcBorders>
              <w:top w:val="nil"/>
              <w:left w:val="single" w:color="auto" w:sz="8" w:space="0"/>
              <w:bottom w:val="single" w:color="auto" w:sz="8" w:space="0"/>
              <w:right w:val="single" w:color="auto" w:sz="8" w:space="0"/>
            </w:tcBorders>
            <w:vAlign w:val="center"/>
          </w:tcPr>
          <w:p>
            <w:pPr>
              <w:overflowPunct w:val="0"/>
              <w:adjustRightInd w:val="0"/>
              <w:snapToGrid w:val="0"/>
              <w:jc w:val="left"/>
              <w:rPr>
                <w:snapToGrid w:val="0"/>
                <w:color w:val="000000"/>
                <w:kern w:val="0"/>
                <w:sz w:val="24"/>
              </w:rPr>
            </w:pPr>
            <w:r>
              <w:rPr>
                <w:rFonts w:hint="eastAsia"/>
                <w:snapToGrid w:val="0"/>
                <w:color w:val="000000"/>
                <w:kern w:val="0"/>
                <w:sz w:val="24"/>
              </w:rPr>
              <w:t>二、</w:t>
            </w:r>
            <w:r>
              <w:rPr>
                <w:snapToGrid w:val="0"/>
                <w:color w:val="000000"/>
                <w:kern w:val="0"/>
                <w:sz w:val="24"/>
              </w:rPr>
              <w:t>20</w:t>
            </w:r>
            <w:r>
              <w:rPr>
                <w:rFonts w:hint="eastAsia"/>
                <w:snapToGrid w:val="0"/>
                <w:color w:val="000000"/>
                <w:kern w:val="0"/>
                <w:sz w:val="24"/>
              </w:rPr>
              <w:t>20年地方政府专项债务余额</w:t>
            </w:r>
          </w:p>
        </w:tc>
        <w:tc>
          <w:tcPr>
            <w:tcW w:w="1959" w:type="pct"/>
            <w:tcBorders>
              <w:top w:val="nil"/>
              <w:left w:val="nil"/>
              <w:bottom w:val="single" w:color="auto" w:sz="8" w:space="0"/>
              <w:right w:val="single" w:color="auto" w:sz="8" w:space="0"/>
            </w:tcBorders>
            <w:vAlign w:val="center"/>
          </w:tcPr>
          <w:p>
            <w:pPr>
              <w:overflowPunct w:val="0"/>
              <w:adjustRightInd w:val="0"/>
              <w:snapToGrid w:val="0"/>
              <w:jc w:val="center"/>
              <w:rPr>
                <w:snapToGrid w:val="0"/>
                <w:color w:val="000000"/>
                <w:kern w:val="0"/>
                <w:sz w:val="24"/>
              </w:rPr>
            </w:pPr>
            <w:r>
              <w:rPr>
                <w:rFonts w:hint="eastAsia"/>
                <w:snapToGrid w:val="0"/>
                <w:color w:val="000000"/>
                <w:kern w:val="0"/>
                <w:sz w:val="24"/>
              </w:rPr>
              <w:t>7</w:t>
            </w:r>
            <w:r>
              <w:rPr>
                <w:snapToGrid w:val="0"/>
                <w:color w:val="000000"/>
                <w:kern w:val="0"/>
                <w:sz w:val="24"/>
              </w:rPr>
              <w:t>0000</w:t>
            </w:r>
          </w:p>
        </w:tc>
      </w:tr>
    </w:tbl>
    <w:p>
      <w:pPr>
        <w:overflowPunct w:val="0"/>
        <w:adjustRightInd w:val="0"/>
        <w:snapToGrid w:val="0"/>
        <w:spacing w:line="360" w:lineRule="auto"/>
        <w:jc w:val="left"/>
        <w:rPr>
          <w:snapToGrid w:val="0"/>
          <w:color w:val="333333"/>
          <w:kern w:val="0"/>
          <w:szCs w:val="21"/>
        </w:rPr>
      </w:pPr>
      <w:r>
        <w:rPr>
          <w:rFonts w:hint="eastAsia"/>
          <w:snapToGrid w:val="0"/>
          <w:color w:val="333333"/>
          <w:kern w:val="0"/>
          <w:szCs w:val="21"/>
        </w:rPr>
        <w:t>备注：</w:t>
      </w:r>
      <w:r>
        <w:rPr>
          <w:snapToGrid w:val="0"/>
          <w:color w:val="333333"/>
          <w:kern w:val="0"/>
          <w:szCs w:val="21"/>
        </w:rPr>
        <w:t>20</w:t>
      </w:r>
      <w:r>
        <w:rPr>
          <w:rFonts w:hint="eastAsia"/>
          <w:snapToGrid w:val="0"/>
          <w:color w:val="333333"/>
          <w:kern w:val="0"/>
          <w:szCs w:val="21"/>
        </w:rPr>
        <w:t>20年</w:t>
      </w:r>
      <w:r>
        <w:rPr>
          <w:rFonts w:hint="eastAsia"/>
          <w:snapToGrid w:val="0"/>
          <w:color w:val="000000"/>
          <w:kern w:val="0"/>
          <w:szCs w:val="21"/>
        </w:rPr>
        <w:t>专项</w:t>
      </w:r>
      <w:r>
        <w:rPr>
          <w:rFonts w:hint="eastAsia"/>
          <w:snapToGrid w:val="0"/>
          <w:color w:val="333333"/>
          <w:kern w:val="0"/>
          <w:szCs w:val="21"/>
        </w:rPr>
        <w:t>债务限额以市财政核定的区级债务限额为准，</w:t>
      </w:r>
      <w:r>
        <w:rPr>
          <w:snapToGrid w:val="0"/>
          <w:color w:val="333333"/>
          <w:kern w:val="0"/>
          <w:szCs w:val="21"/>
        </w:rPr>
        <w:t>20</w:t>
      </w:r>
      <w:r>
        <w:rPr>
          <w:rFonts w:hint="eastAsia"/>
          <w:snapToGrid w:val="0"/>
          <w:color w:val="333333"/>
          <w:kern w:val="0"/>
          <w:szCs w:val="21"/>
        </w:rPr>
        <w:t>20年</w:t>
      </w:r>
      <w:r>
        <w:rPr>
          <w:rFonts w:hint="eastAsia"/>
          <w:snapToGrid w:val="0"/>
          <w:color w:val="000000"/>
          <w:kern w:val="0"/>
          <w:szCs w:val="21"/>
        </w:rPr>
        <w:t>专项</w:t>
      </w:r>
      <w:r>
        <w:rPr>
          <w:rFonts w:hint="eastAsia"/>
          <w:snapToGrid w:val="0"/>
          <w:color w:val="333333"/>
          <w:kern w:val="0"/>
          <w:szCs w:val="21"/>
        </w:rPr>
        <w:t>债务余额为预计数</w:t>
      </w:r>
    </w:p>
    <w:p>
      <w:pPr>
        <w:widowControl/>
        <w:jc w:val="left"/>
        <w:rPr>
          <w:rFonts w:ascii="宋体" w:hAnsi="宋体" w:cs="宋体"/>
          <w:b/>
          <w:bCs/>
          <w:kern w:val="0"/>
          <w:sz w:val="30"/>
          <w:szCs w:val="30"/>
        </w:rPr>
      </w:pPr>
      <w:r>
        <w:rPr>
          <w:rFonts w:ascii="宋体" w:hAnsi="宋体" w:cs="宋体"/>
          <w:b/>
          <w:bCs/>
          <w:kern w:val="0"/>
          <w:sz w:val="30"/>
          <w:szCs w:val="30"/>
        </w:rPr>
        <w:br w:type="page"/>
      </w:r>
    </w:p>
    <w:p>
      <w:pPr>
        <w:rPr>
          <w:rFonts w:ascii="宋体" w:hAnsi="宋体" w:cs="宋体"/>
          <w:b/>
          <w:bCs/>
          <w:kern w:val="0"/>
          <w:sz w:val="30"/>
          <w:szCs w:val="30"/>
        </w:rPr>
      </w:pPr>
      <w:r>
        <w:rPr>
          <w:rFonts w:hint="eastAsia"/>
          <w:snapToGrid w:val="0"/>
          <w:kern w:val="0"/>
          <w:sz w:val="24"/>
        </w:rPr>
        <w:t>附表七</w:t>
      </w:r>
    </w:p>
    <w:p>
      <w:pPr>
        <w:overflowPunct w:val="0"/>
        <w:adjustRightInd w:val="0"/>
        <w:snapToGrid w:val="0"/>
        <w:jc w:val="center"/>
        <w:rPr>
          <w:rFonts w:ascii="宋体"/>
          <w:b/>
          <w:sz w:val="30"/>
          <w:szCs w:val="30"/>
        </w:rPr>
      </w:pPr>
      <w:r>
        <w:rPr>
          <w:rFonts w:hint="eastAsia"/>
          <w:b/>
          <w:bCs/>
          <w:snapToGrid w:val="0"/>
          <w:kern w:val="0"/>
          <w:sz w:val="36"/>
          <w:szCs w:val="36"/>
        </w:rPr>
        <w:t>浙南产业集聚区</w:t>
      </w:r>
      <w:r>
        <w:rPr>
          <w:b/>
          <w:bCs/>
          <w:snapToGrid w:val="0"/>
          <w:kern w:val="0"/>
          <w:sz w:val="36"/>
          <w:szCs w:val="36"/>
        </w:rPr>
        <w:t>20</w:t>
      </w:r>
      <w:r>
        <w:rPr>
          <w:rFonts w:hint="eastAsia"/>
          <w:b/>
          <w:bCs/>
          <w:snapToGrid w:val="0"/>
          <w:kern w:val="0"/>
          <w:sz w:val="36"/>
          <w:szCs w:val="36"/>
        </w:rPr>
        <w:t>20年一般公共预算税收返还及转移支付情况表</w:t>
      </w:r>
    </w:p>
    <w:p>
      <w:pPr>
        <w:ind w:firstLine="475" w:firstLineChars="198"/>
        <w:jc w:val="right"/>
        <w:rPr>
          <w:rFonts w:ascii="宋体"/>
          <w:sz w:val="24"/>
        </w:rPr>
      </w:pPr>
      <w:r>
        <w:rPr>
          <w:rFonts w:hint="eastAsia" w:ascii="宋体"/>
          <w:sz w:val="24"/>
        </w:rPr>
        <w:t>单位：万元</w:t>
      </w:r>
    </w:p>
    <w:tbl>
      <w:tblPr>
        <w:tblStyle w:val="23"/>
        <w:tblW w:w="9745" w:type="dxa"/>
        <w:jc w:val="center"/>
        <w:tblLayout w:type="fixed"/>
        <w:tblCellMar>
          <w:top w:w="0" w:type="dxa"/>
          <w:left w:w="108" w:type="dxa"/>
          <w:bottom w:w="0" w:type="dxa"/>
          <w:right w:w="108" w:type="dxa"/>
        </w:tblCellMar>
      </w:tblPr>
      <w:tblGrid>
        <w:gridCol w:w="7644"/>
        <w:gridCol w:w="2101"/>
      </w:tblGrid>
      <w:tr>
        <w:tblPrEx>
          <w:tblCellMar>
            <w:top w:w="0" w:type="dxa"/>
            <w:left w:w="108" w:type="dxa"/>
            <w:bottom w:w="0" w:type="dxa"/>
            <w:right w:w="108" w:type="dxa"/>
          </w:tblCellMar>
        </w:tblPrEx>
        <w:trPr>
          <w:trHeight w:val="454" w:hRule="atLeast"/>
          <w:jc w:val="center"/>
        </w:trPr>
        <w:tc>
          <w:tcPr>
            <w:tcW w:w="76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
                <w:bCs/>
                <w:kern w:val="0"/>
                <w:sz w:val="24"/>
              </w:rPr>
            </w:pPr>
            <w:r>
              <w:rPr>
                <w:rFonts w:hint="eastAsia" w:ascii="宋体" w:hAnsi="宋体" w:cs="宋体"/>
                <w:b/>
                <w:color w:val="000000"/>
                <w:kern w:val="0"/>
                <w:sz w:val="24"/>
              </w:rPr>
              <w:t>项目</w:t>
            </w:r>
          </w:p>
        </w:tc>
        <w:tc>
          <w:tcPr>
            <w:tcW w:w="2101"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cs="宋体"/>
                <w:b/>
                <w:bCs/>
                <w:kern w:val="0"/>
                <w:sz w:val="24"/>
              </w:rPr>
            </w:pPr>
            <w:r>
              <w:rPr>
                <w:rFonts w:ascii="宋体" w:hAnsi="宋体" w:cs="宋体"/>
                <w:b/>
                <w:color w:val="000000"/>
                <w:kern w:val="0"/>
                <w:sz w:val="24"/>
              </w:rPr>
              <w:t>20</w:t>
            </w:r>
            <w:r>
              <w:rPr>
                <w:rFonts w:hint="eastAsia" w:ascii="宋体" w:hAnsi="宋体" w:cs="宋体"/>
                <w:b/>
                <w:color w:val="000000"/>
                <w:kern w:val="0"/>
                <w:sz w:val="24"/>
              </w:rPr>
              <w:t>20年</w:t>
            </w:r>
          </w:p>
        </w:tc>
      </w:tr>
      <w:tr>
        <w:tblPrEx>
          <w:tblCellMar>
            <w:top w:w="0" w:type="dxa"/>
            <w:left w:w="108" w:type="dxa"/>
            <w:bottom w:w="0" w:type="dxa"/>
            <w:right w:w="108" w:type="dxa"/>
          </w:tblCellMar>
        </w:tblPrEx>
        <w:trPr>
          <w:trHeight w:val="454" w:hRule="atLeast"/>
          <w:jc w:val="center"/>
        </w:trPr>
        <w:tc>
          <w:tcPr>
            <w:tcW w:w="7644" w:type="dxa"/>
            <w:tcBorders>
              <w:top w:val="nil"/>
              <w:left w:val="single" w:color="000000" w:sz="8" w:space="0"/>
              <w:bottom w:val="single" w:color="000000" w:sz="4" w:space="0"/>
              <w:right w:val="single" w:color="000000" w:sz="4" w:space="0"/>
            </w:tcBorders>
            <w:vAlign w:val="center"/>
          </w:tcPr>
          <w:p>
            <w:pPr>
              <w:overflowPunct w:val="0"/>
              <w:adjustRightInd w:val="0"/>
              <w:snapToGrid w:val="0"/>
              <w:textAlignment w:val="center"/>
              <w:rPr>
                <w:snapToGrid w:val="0"/>
                <w:color w:val="000000"/>
                <w:kern w:val="0"/>
                <w:sz w:val="24"/>
              </w:rPr>
            </w:pPr>
            <w:r>
              <w:rPr>
                <w:rFonts w:hint="eastAsia"/>
                <w:snapToGrid w:val="0"/>
                <w:color w:val="000000"/>
                <w:kern w:val="0"/>
                <w:sz w:val="24"/>
              </w:rPr>
              <w:t>税收返还</w:t>
            </w:r>
          </w:p>
        </w:tc>
        <w:tc>
          <w:tcPr>
            <w:tcW w:w="2101" w:type="dxa"/>
            <w:tcBorders>
              <w:top w:val="nil"/>
              <w:left w:val="single" w:color="000000" w:sz="8" w:space="0"/>
              <w:bottom w:val="single" w:color="000000" w:sz="4" w:space="0"/>
              <w:right w:val="single" w:color="000000" w:sz="4" w:space="0"/>
            </w:tcBorders>
            <w:vAlign w:val="center"/>
          </w:tcPr>
          <w:p>
            <w:pPr>
              <w:widowControl/>
              <w:jc w:val="center"/>
              <w:textAlignment w:val="center"/>
              <w:rPr>
                <w:snapToGrid w:val="0"/>
                <w:color w:val="000000"/>
                <w:kern w:val="0"/>
                <w:sz w:val="24"/>
              </w:rPr>
            </w:pPr>
            <w:r>
              <w:rPr>
                <w:snapToGrid w:val="0"/>
                <w:color w:val="000000"/>
                <w:kern w:val="0"/>
                <w:sz w:val="24"/>
              </w:rPr>
              <w:t>0</w:t>
            </w:r>
          </w:p>
        </w:tc>
      </w:tr>
      <w:tr>
        <w:tblPrEx>
          <w:tblCellMar>
            <w:top w:w="0" w:type="dxa"/>
            <w:left w:w="108" w:type="dxa"/>
            <w:bottom w:w="0" w:type="dxa"/>
            <w:right w:w="108" w:type="dxa"/>
          </w:tblCellMar>
        </w:tblPrEx>
        <w:trPr>
          <w:trHeight w:val="454" w:hRule="atLeast"/>
          <w:jc w:val="center"/>
        </w:trPr>
        <w:tc>
          <w:tcPr>
            <w:tcW w:w="7644" w:type="dxa"/>
            <w:tcBorders>
              <w:top w:val="nil"/>
              <w:left w:val="single" w:color="000000" w:sz="8" w:space="0"/>
              <w:bottom w:val="single" w:color="000000" w:sz="4" w:space="0"/>
              <w:right w:val="single" w:color="000000" w:sz="4" w:space="0"/>
            </w:tcBorders>
            <w:vAlign w:val="center"/>
          </w:tcPr>
          <w:p>
            <w:pPr>
              <w:overflowPunct w:val="0"/>
              <w:adjustRightInd w:val="0"/>
              <w:snapToGrid w:val="0"/>
              <w:textAlignment w:val="center"/>
              <w:rPr>
                <w:snapToGrid w:val="0"/>
                <w:color w:val="000000"/>
                <w:kern w:val="0"/>
                <w:sz w:val="24"/>
              </w:rPr>
            </w:pPr>
            <w:r>
              <w:rPr>
                <w:rFonts w:hint="eastAsia"/>
                <w:snapToGrid w:val="0"/>
                <w:color w:val="000000"/>
                <w:kern w:val="0"/>
                <w:sz w:val="24"/>
              </w:rPr>
              <w:t>一般转移支付</w:t>
            </w:r>
          </w:p>
        </w:tc>
        <w:tc>
          <w:tcPr>
            <w:tcW w:w="2101" w:type="dxa"/>
            <w:tcBorders>
              <w:top w:val="nil"/>
              <w:left w:val="single" w:color="000000" w:sz="8" w:space="0"/>
              <w:bottom w:val="single" w:color="000000" w:sz="4" w:space="0"/>
              <w:right w:val="single" w:color="000000" w:sz="4" w:space="0"/>
            </w:tcBorders>
            <w:vAlign w:val="center"/>
          </w:tcPr>
          <w:p>
            <w:pPr>
              <w:overflowPunct w:val="0"/>
              <w:adjustRightInd w:val="0"/>
              <w:snapToGrid w:val="0"/>
              <w:jc w:val="center"/>
              <w:textAlignment w:val="center"/>
              <w:rPr>
                <w:snapToGrid w:val="0"/>
                <w:color w:val="000000"/>
                <w:kern w:val="0"/>
                <w:sz w:val="24"/>
              </w:rPr>
            </w:pPr>
            <w:r>
              <w:rPr>
                <w:snapToGrid w:val="0"/>
                <w:color w:val="000000"/>
                <w:kern w:val="0"/>
                <w:sz w:val="24"/>
              </w:rPr>
              <w:t>0</w:t>
            </w:r>
          </w:p>
        </w:tc>
      </w:tr>
      <w:tr>
        <w:tblPrEx>
          <w:tblCellMar>
            <w:top w:w="0" w:type="dxa"/>
            <w:left w:w="108" w:type="dxa"/>
            <w:bottom w:w="0" w:type="dxa"/>
            <w:right w:w="108" w:type="dxa"/>
          </w:tblCellMar>
        </w:tblPrEx>
        <w:trPr>
          <w:trHeight w:val="454" w:hRule="atLeast"/>
          <w:jc w:val="center"/>
        </w:trPr>
        <w:tc>
          <w:tcPr>
            <w:tcW w:w="7644" w:type="dxa"/>
            <w:tcBorders>
              <w:top w:val="nil"/>
              <w:left w:val="single" w:color="000000" w:sz="8" w:space="0"/>
              <w:bottom w:val="single" w:color="000000" w:sz="4" w:space="0"/>
              <w:right w:val="single" w:color="000000" w:sz="4" w:space="0"/>
            </w:tcBorders>
            <w:vAlign w:val="center"/>
          </w:tcPr>
          <w:p>
            <w:pPr>
              <w:overflowPunct w:val="0"/>
              <w:adjustRightInd w:val="0"/>
              <w:snapToGrid w:val="0"/>
              <w:textAlignment w:val="center"/>
              <w:rPr>
                <w:snapToGrid w:val="0"/>
                <w:color w:val="000000"/>
                <w:kern w:val="0"/>
                <w:sz w:val="24"/>
              </w:rPr>
            </w:pPr>
            <w:r>
              <w:rPr>
                <w:rFonts w:hint="eastAsia"/>
                <w:snapToGrid w:val="0"/>
                <w:color w:val="000000"/>
                <w:kern w:val="0"/>
                <w:sz w:val="24"/>
              </w:rPr>
              <w:t>专项转移支付</w:t>
            </w:r>
          </w:p>
        </w:tc>
        <w:tc>
          <w:tcPr>
            <w:tcW w:w="2101" w:type="dxa"/>
            <w:tcBorders>
              <w:top w:val="nil"/>
              <w:left w:val="single" w:color="000000" w:sz="8" w:space="0"/>
              <w:bottom w:val="single" w:color="000000" w:sz="4" w:space="0"/>
              <w:right w:val="single" w:color="000000" w:sz="4" w:space="0"/>
            </w:tcBorders>
            <w:vAlign w:val="center"/>
          </w:tcPr>
          <w:p>
            <w:pPr>
              <w:overflowPunct w:val="0"/>
              <w:adjustRightInd w:val="0"/>
              <w:snapToGrid w:val="0"/>
              <w:jc w:val="center"/>
              <w:textAlignment w:val="center"/>
              <w:rPr>
                <w:snapToGrid w:val="0"/>
                <w:color w:val="000000"/>
                <w:kern w:val="0"/>
                <w:sz w:val="24"/>
              </w:rPr>
            </w:pPr>
            <w:r>
              <w:rPr>
                <w:snapToGrid w:val="0"/>
                <w:color w:val="000000"/>
                <w:kern w:val="0"/>
                <w:sz w:val="24"/>
              </w:rPr>
              <w:t>0</w:t>
            </w:r>
          </w:p>
        </w:tc>
      </w:tr>
    </w:tbl>
    <w:p>
      <w:pPr>
        <w:spacing w:line="600" w:lineRule="exact"/>
        <w:ind w:right="480"/>
        <w:rPr>
          <w:snapToGrid w:val="0"/>
          <w:color w:val="333333"/>
          <w:kern w:val="0"/>
          <w:szCs w:val="21"/>
        </w:rPr>
      </w:pPr>
      <w:r>
        <w:rPr>
          <w:rFonts w:hint="eastAsia"/>
          <w:snapToGrid w:val="0"/>
          <w:color w:val="333333"/>
          <w:kern w:val="0"/>
          <w:szCs w:val="21"/>
        </w:rPr>
        <w:t>备注：我区下属四个街道，无乡镇，所有收支均列本级收支，无转移下级支出，故本表无数据。</w:t>
      </w:r>
    </w:p>
    <w:p>
      <w:pPr>
        <w:spacing w:line="600" w:lineRule="exact"/>
        <w:ind w:right="480"/>
        <w:rPr>
          <w:rFonts w:ascii="仿宋_GB2312" w:hAnsi="宋体-18030" w:eastAsia="仿宋_GB2312" w:cs="宋体-18030"/>
          <w:sz w:val="32"/>
          <w:szCs w:val="32"/>
        </w:rPr>
      </w:pPr>
    </w:p>
    <w:p>
      <w:pPr>
        <w:spacing w:line="600" w:lineRule="exact"/>
        <w:ind w:right="480"/>
        <w:rPr>
          <w:rFonts w:ascii="仿宋_GB2312" w:hAnsi="宋体-18030" w:eastAsia="仿宋_GB2312" w:cs="宋体-18030"/>
          <w:sz w:val="32"/>
          <w:szCs w:val="32"/>
        </w:rPr>
      </w:pPr>
    </w:p>
    <w:p>
      <w:pPr>
        <w:spacing w:line="600" w:lineRule="exact"/>
        <w:ind w:right="480"/>
        <w:rPr>
          <w:snapToGrid w:val="0"/>
          <w:kern w:val="0"/>
          <w:sz w:val="24"/>
        </w:rPr>
      </w:pPr>
      <w:r>
        <w:rPr>
          <w:rFonts w:hint="eastAsia"/>
          <w:snapToGrid w:val="0"/>
          <w:kern w:val="0"/>
          <w:sz w:val="24"/>
        </w:rPr>
        <w:t>附表八</w:t>
      </w:r>
    </w:p>
    <w:p>
      <w:pPr>
        <w:overflowPunct w:val="0"/>
        <w:adjustRightInd w:val="0"/>
        <w:snapToGrid w:val="0"/>
        <w:jc w:val="center"/>
        <w:rPr>
          <w:b/>
          <w:bCs/>
          <w:snapToGrid w:val="0"/>
          <w:kern w:val="0"/>
          <w:sz w:val="36"/>
          <w:szCs w:val="36"/>
        </w:rPr>
      </w:pPr>
      <w:r>
        <w:rPr>
          <w:rFonts w:hint="eastAsia"/>
          <w:b/>
          <w:bCs/>
          <w:snapToGrid w:val="0"/>
          <w:kern w:val="0"/>
          <w:sz w:val="36"/>
          <w:szCs w:val="36"/>
        </w:rPr>
        <w:t>浙南产业集聚区</w:t>
      </w:r>
      <w:r>
        <w:rPr>
          <w:b/>
          <w:bCs/>
          <w:snapToGrid w:val="0"/>
          <w:kern w:val="0"/>
          <w:sz w:val="36"/>
          <w:szCs w:val="36"/>
        </w:rPr>
        <w:t>20</w:t>
      </w:r>
      <w:r>
        <w:rPr>
          <w:rFonts w:hint="eastAsia"/>
          <w:b/>
          <w:bCs/>
          <w:snapToGrid w:val="0"/>
          <w:kern w:val="0"/>
          <w:sz w:val="36"/>
          <w:szCs w:val="36"/>
        </w:rPr>
        <w:t>20年政府性基金转移支付表</w:t>
      </w:r>
    </w:p>
    <w:p>
      <w:pPr>
        <w:spacing w:line="600" w:lineRule="exact"/>
        <w:ind w:right="480"/>
        <w:jc w:val="right"/>
        <w:rPr>
          <w:rFonts w:ascii="黑体" w:hAnsi="宋体-18030" w:eastAsia="黑体" w:cs="宋体-18030"/>
          <w:sz w:val="32"/>
          <w:szCs w:val="32"/>
        </w:rPr>
      </w:pPr>
      <w:r>
        <w:rPr>
          <w:rFonts w:hint="eastAsia" w:ascii="方正书宋_GBK" w:hAnsi="宋体" w:eastAsia="方正书宋_GBK" w:cs="宋体"/>
          <w:kern w:val="0"/>
          <w:sz w:val="24"/>
        </w:rPr>
        <w:t>单位：万元</w:t>
      </w:r>
    </w:p>
    <w:tbl>
      <w:tblPr>
        <w:tblStyle w:val="23"/>
        <w:tblW w:w="9745" w:type="dxa"/>
        <w:jc w:val="center"/>
        <w:tblLayout w:type="fixed"/>
        <w:tblCellMar>
          <w:top w:w="0" w:type="dxa"/>
          <w:left w:w="108" w:type="dxa"/>
          <w:bottom w:w="0" w:type="dxa"/>
          <w:right w:w="108" w:type="dxa"/>
        </w:tblCellMar>
      </w:tblPr>
      <w:tblGrid>
        <w:gridCol w:w="7644"/>
        <w:gridCol w:w="2101"/>
      </w:tblGrid>
      <w:tr>
        <w:tblPrEx>
          <w:tblCellMar>
            <w:top w:w="0" w:type="dxa"/>
            <w:left w:w="108" w:type="dxa"/>
            <w:bottom w:w="0" w:type="dxa"/>
            <w:right w:w="108" w:type="dxa"/>
          </w:tblCellMar>
        </w:tblPrEx>
        <w:trPr>
          <w:trHeight w:val="454" w:hRule="atLeast"/>
          <w:jc w:val="center"/>
        </w:trPr>
        <w:tc>
          <w:tcPr>
            <w:tcW w:w="76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
                <w:bCs/>
                <w:kern w:val="0"/>
                <w:sz w:val="24"/>
              </w:rPr>
            </w:pPr>
            <w:r>
              <w:rPr>
                <w:rFonts w:hint="eastAsia" w:ascii="宋体" w:hAnsi="宋体" w:cs="宋体"/>
                <w:b/>
                <w:color w:val="000000"/>
                <w:kern w:val="0"/>
                <w:sz w:val="24"/>
              </w:rPr>
              <w:t>项目</w:t>
            </w:r>
          </w:p>
        </w:tc>
        <w:tc>
          <w:tcPr>
            <w:tcW w:w="2101"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cs="宋体"/>
                <w:b/>
                <w:bCs/>
                <w:kern w:val="0"/>
                <w:sz w:val="24"/>
              </w:rPr>
            </w:pPr>
            <w:r>
              <w:rPr>
                <w:rFonts w:ascii="宋体" w:hAnsi="宋体" w:cs="宋体"/>
                <w:b/>
                <w:color w:val="000000"/>
                <w:kern w:val="0"/>
                <w:sz w:val="24"/>
              </w:rPr>
              <w:t>20</w:t>
            </w:r>
            <w:r>
              <w:rPr>
                <w:rFonts w:hint="eastAsia" w:ascii="宋体" w:hAnsi="宋体" w:cs="宋体"/>
                <w:b/>
                <w:color w:val="000000"/>
                <w:kern w:val="0"/>
                <w:sz w:val="24"/>
              </w:rPr>
              <w:t>20年</w:t>
            </w:r>
          </w:p>
        </w:tc>
      </w:tr>
      <w:tr>
        <w:tblPrEx>
          <w:tblCellMar>
            <w:top w:w="0" w:type="dxa"/>
            <w:left w:w="108" w:type="dxa"/>
            <w:bottom w:w="0" w:type="dxa"/>
            <w:right w:w="108" w:type="dxa"/>
          </w:tblCellMar>
        </w:tblPrEx>
        <w:trPr>
          <w:trHeight w:val="454" w:hRule="atLeast"/>
          <w:jc w:val="center"/>
        </w:trPr>
        <w:tc>
          <w:tcPr>
            <w:tcW w:w="7644" w:type="dxa"/>
            <w:tcBorders>
              <w:top w:val="nil"/>
              <w:left w:val="single" w:color="000000" w:sz="8" w:space="0"/>
              <w:bottom w:val="single" w:color="000000" w:sz="4" w:space="0"/>
              <w:right w:val="single" w:color="000000" w:sz="4" w:space="0"/>
            </w:tcBorders>
            <w:vAlign w:val="center"/>
          </w:tcPr>
          <w:p>
            <w:pPr>
              <w:widowControl/>
              <w:jc w:val="left"/>
              <w:textAlignment w:val="center"/>
              <w:rPr>
                <w:rFonts w:ascii="宋体"/>
                <w:sz w:val="24"/>
              </w:rPr>
            </w:pPr>
            <w:r>
              <w:rPr>
                <w:rFonts w:hint="eastAsia" w:ascii="宋体" w:hAnsi="宋体"/>
                <w:sz w:val="24"/>
              </w:rPr>
              <w:t>转移支付</w:t>
            </w:r>
          </w:p>
        </w:tc>
        <w:tc>
          <w:tcPr>
            <w:tcW w:w="2101" w:type="dxa"/>
            <w:tcBorders>
              <w:top w:val="nil"/>
              <w:left w:val="single" w:color="000000" w:sz="8" w:space="0"/>
              <w:bottom w:val="single" w:color="000000" w:sz="4" w:space="0"/>
              <w:right w:val="single" w:color="000000" w:sz="4" w:space="0"/>
            </w:tcBorders>
            <w:vAlign w:val="center"/>
          </w:tcPr>
          <w:p>
            <w:pPr>
              <w:widowControl/>
              <w:jc w:val="center"/>
              <w:textAlignment w:val="center"/>
              <w:rPr>
                <w:rFonts w:ascii="宋体" w:cs="宋体"/>
                <w:color w:val="000000"/>
                <w:kern w:val="0"/>
                <w:sz w:val="24"/>
              </w:rPr>
            </w:pPr>
            <w:r>
              <w:rPr>
                <w:rFonts w:ascii="宋体" w:cs="宋体"/>
                <w:color w:val="000000"/>
                <w:kern w:val="0"/>
                <w:sz w:val="24"/>
              </w:rPr>
              <w:t>0</w:t>
            </w:r>
          </w:p>
        </w:tc>
      </w:tr>
    </w:tbl>
    <w:p>
      <w:pPr>
        <w:overflowPunct w:val="0"/>
        <w:adjustRightInd w:val="0"/>
        <w:snapToGrid w:val="0"/>
        <w:spacing w:line="360" w:lineRule="auto"/>
        <w:jc w:val="center"/>
        <w:rPr>
          <w:b/>
          <w:snapToGrid w:val="0"/>
          <w:kern w:val="0"/>
          <w:sz w:val="28"/>
          <w:szCs w:val="28"/>
        </w:rPr>
      </w:pPr>
      <w:r>
        <w:rPr>
          <w:rFonts w:hint="eastAsia"/>
          <w:snapToGrid w:val="0"/>
          <w:color w:val="333333"/>
          <w:kern w:val="0"/>
          <w:szCs w:val="21"/>
        </w:rPr>
        <w:t>备注：我区下属四个街道，无乡镇，所有支出均列本级支出，无转移下级支出，故本表无数据。</w:t>
      </w:r>
    </w:p>
    <w:sectPr>
      <w:footerReference r:id="rId3" w:type="default"/>
      <w:pgSz w:w="11906" w:h="16838"/>
      <w:pgMar w:top="1701" w:right="1418" w:bottom="1134" w:left="1418" w:header="851" w:footer="113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Symbol">
    <w:panose1 w:val="020B0502040204020203"/>
    <w:charset w:val="00"/>
    <w:family w:val="auto"/>
    <w:pitch w:val="default"/>
    <w:sig w:usb0="800001E3" w:usb1="1200FFEF" w:usb2="0064C000" w:usb3="04000000" w:csb0="00000001" w:csb1="4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font-weight : 400">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00"/>
    <w:family w:val="auto"/>
    <w:pitch w:val="default"/>
    <w:sig w:usb0="00000000" w:usb1="00000000" w:usb2="00000000" w:usb3="00000000" w:csb0="00000000" w:csb1="00000000"/>
  </w:font>
  <w:font w:name="宋体-18030">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rPr>
        <w:lang w:val="zh-CN"/>
      </w:rPr>
      <w:t>-</w:t>
    </w:r>
    <w:r>
      <w:t xml:space="preserve"> 2 -</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hideSpellingErrors/>
  <w:hideGrammatical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FF8"/>
    <w:rsid w:val="00070BEF"/>
    <w:rsid w:val="0008118D"/>
    <w:rsid w:val="00141F3A"/>
    <w:rsid w:val="001E638A"/>
    <w:rsid w:val="001F191A"/>
    <w:rsid w:val="001F4474"/>
    <w:rsid w:val="001F6F54"/>
    <w:rsid w:val="002763BB"/>
    <w:rsid w:val="002D36B0"/>
    <w:rsid w:val="003404CA"/>
    <w:rsid w:val="00376C7F"/>
    <w:rsid w:val="003932B1"/>
    <w:rsid w:val="003D53A4"/>
    <w:rsid w:val="003E26BE"/>
    <w:rsid w:val="003E3739"/>
    <w:rsid w:val="00423460"/>
    <w:rsid w:val="00457142"/>
    <w:rsid w:val="004F1EED"/>
    <w:rsid w:val="005402E9"/>
    <w:rsid w:val="005A1BE3"/>
    <w:rsid w:val="005C4215"/>
    <w:rsid w:val="005F3FF8"/>
    <w:rsid w:val="00653ADF"/>
    <w:rsid w:val="00654D16"/>
    <w:rsid w:val="006A3961"/>
    <w:rsid w:val="006F424F"/>
    <w:rsid w:val="006F4F1A"/>
    <w:rsid w:val="0074313E"/>
    <w:rsid w:val="0074315F"/>
    <w:rsid w:val="007D313F"/>
    <w:rsid w:val="00805F0A"/>
    <w:rsid w:val="00830110"/>
    <w:rsid w:val="008603C2"/>
    <w:rsid w:val="008C0C93"/>
    <w:rsid w:val="00916461"/>
    <w:rsid w:val="00925312"/>
    <w:rsid w:val="00942065"/>
    <w:rsid w:val="009C45C4"/>
    <w:rsid w:val="00A27C95"/>
    <w:rsid w:val="00A317BE"/>
    <w:rsid w:val="00A728F7"/>
    <w:rsid w:val="00A91F59"/>
    <w:rsid w:val="00AD4B6B"/>
    <w:rsid w:val="00B15DA9"/>
    <w:rsid w:val="00B37F2A"/>
    <w:rsid w:val="00BB3F84"/>
    <w:rsid w:val="00BE700B"/>
    <w:rsid w:val="00C36064"/>
    <w:rsid w:val="00C62CBF"/>
    <w:rsid w:val="00CD7C25"/>
    <w:rsid w:val="00CF6785"/>
    <w:rsid w:val="00D4298B"/>
    <w:rsid w:val="00D852B4"/>
    <w:rsid w:val="00DB1214"/>
    <w:rsid w:val="00DB7EB3"/>
    <w:rsid w:val="00DC5530"/>
    <w:rsid w:val="00DC5A66"/>
    <w:rsid w:val="00DE7726"/>
    <w:rsid w:val="00DF168E"/>
    <w:rsid w:val="00DF67DD"/>
    <w:rsid w:val="00E25A78"/>
    <w:rsid w:val="00EF3BB4"/>
    <w:rsid w:val="00F10033"/>
    <w:rsid w:val="00F20876"/>
    <w:rsid w:val="00F46045"/>
    <w:rsid w:val="00F83D9C"/>
    <w:rsid w:val="00FB74D2"/>
    <w:rsid w:val="00FF3F38"/>
    <w:rsid w:val="030C6F7A"/>
    <w:rsid w:val="0DED2D05"/>
    <w:rsid w:val="11640906"/>
    <w:rsid w:val="11BA3822"/>
    <w:rsid w:val="15E35167"/>
    <w:rsid w:val="1BB84AAB"/>
    <w:rsid w:val="1E556912"/>
    <w:rsid w:val="23D60440"/>
    <w:rsid w:val="31BE37D7"/>
    <w:rsid w:val="493051B5"/>
    <w:rsid w:val="53BC1461"/>
    <w:rsid w:val="54527565"/>
    <w:rsid w:val="55A54882"/>
    <w:rsid w:val="6FAE58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qFormat/>
    <w:uiPriority w:val="0"/>
    <w:pPr>
      <w:adjustRightInd w:val="0"/>
      <w:snapToGrid w:val="0"/>
      <w:spacing w:line="355" w:lineRule="auto"/>
      <w:ind w:firstLine="200" w:firstLineChars="200"/>
      <w:outlineLvl w:val="0"/>
    </w:pPr>
    <w:rPr>
      <w:rFonts w:eastAsia="黑体"/>
      <w:kern w:val="0"/>
      <w:sz w:val="32"/>
      <w:szCs w:val="32"/>
    </w:rPr>
  </w:style>
  <w:style w:type="paragraph" w:styleId="3">
    <w:name w:val="heading 2"/>
    <w:basedOn w:val="1"/>
    <w:next w:val="1"/>
    <w:link w:val="32"/>
    <w:qFormat/>
    <w:uiPriority w:val="0"/>
    <w:pPr>
      <w:adjustRightInd w:val="0"/>
      <w:snapToGrid w:val="0"/>
      <w:spacing w:line="355" w:lineRule="auto"/>
      <w:ind w:firstLine="643" w:firstLineChars="200"/>
      <w:outlineLvl w:val="1"/>
    </w:pPr>
    <w:rPr>
      <w:rFonts w:eastAsia="楷体_GB2312"/>
      <w:b/>
      <w:kern w:val="0"/>
      <w:sz w:val="32"/>
      <w:szCs w:val="32"/>
    </w:rPr>
  </w:style>
  <w:style w:type="paragraph" w:styleId="4">
    <w:name w:val="heading 3"/>
    <w:basedOn w:val="1"/>
    <w:next w:val="1"/>
    <w:link w:val="33"/>
    <w:qFormat/>
    <w:uiPriority w:val="0"/>
    <w:pPr>
      <w:adjustRightInd w:val="0"/>
      <w:snapToGrid w:val="0"/>
      <w:spacing w:line="355" w:lineRule="auto"/>
      <w:ind w:firstLine="640" w:firstLineChars="200"/>
      <w:outlineLvl w:val="2"/>
    </w:pPr>
    <w:rPr>
      <w:rFonts w:eastAsia="仿宋_GB2312"/>
      <w:kern w:val="0"/>
      <w:sz w:val="32"/>
      <w:szCs w:val="32"/>
    </w:rPr>
  </w:style>
  <w:style w:type="paragraph" w:styleId="5">
    <w:name w:val="heading 4"/>
    <w:basedOn w:val="1"/>
    <w:next w:val="1"/>
    <w:link w:val="34"/>
    <w:qFormat/>
    <w:uiPriority w:val="0"/>
    <w:pPr>
      <w:keepNext/>
      <w:keepLines/>
      <w:widowControl/>
      <w:tabs>
        <w:tab w:val="left" w:pos="377"/>
      </w:tabs>
      <w:adjustRightInd w:val="0"/>
      <w:snapToGrid w:val="0"/>
      <w:spacing w:before="280" w:after="290" w:line="377" w:lineRule="auto"/>
      <w:ind w:firstLine="640" w:firstLineChars="200"/>
      <w:jc w:val="left"/>
      <w:outlineLvl w:val="3"/>
    </w:pPr>
    <w:rPr>
      <w:rFonts w:ascii="Cambria" w:hAnsi="Cambria" w:eastAsia="黑体"/>
      <w:bCs/>
      <w:kern w:val="0"/>
      <w:sz w:val="24"/>
      <w:szCs w:val="28"/>
    </w:rPr>
  </w:style>
  <w:style w:type="paragraph" w:styleId="6">
    <w:name w:val="heading 5"/>
    <w:basedOn w:val="1"/>
    <w:next w:val="1"/>
    <w:link w:val="35"/>
    <w:qFormat/>
    <w:uiPriority w:val="0"/>
    <w:pPr>
      <w:keepNext/>
      <w:keepLines/>
      <w:adjustRightInd w:val="0"/>
      <w:snapToGrid w:val="0"/>
      <w:spacing w:before="280" w:after="290" w:line="376" w:lineRule="auto"/>
      <w:ind w:firstLine="640" w:firstLineChars="200"/>
      <w:outlineLvl w:val="4"/>
    </w:pPr>
    <w:rPr>
      <w:b/>
      <w:bCs/>
      <w:sz w:val="28"/>
      <w:szCs w:val="28"/>
    </w:rPr>
  </w:style>
  <w:style w:type="paragraph" w:styleId="7">
    <w:name w:val="heading 6"/>
    <w:basedOn w:val="1"/>
    <w:next w:val="1"/>
    <w:link w:val="36"/>
    <w:qFormat/>
    <w:uiPriority w:val="0"/>
    <w:pPr>
      <w:keepNext/>
      <w:keepLines/>
      <w:adjustRightInd w:val="0"/>
      <w:snapToGrid w:val="0"/>
      <w:spacing w:before="240" w:after="64" w:line="320" w:lineRule="auto"/>
      <w:ind w:firstLine="640" w:firstLineChars="200"/>
      <w:outlineLvl w:val="5"/>
    </w:pPr>
    <w:rPr>
      <w:rFonts w:ascii="Cambria" w:hAnsi="Cambria"/>
      <w:b/>
      <w:bCs/>
      <w:sz w:val="24"/>
    </w:rPr>
  </w:style>
  <w:style w:type="paragraph" w:styleId="8">
    <w:name w:val="heading 7"/>
    <w:basedOn w:val="1"/>
    <w:next w:val="1"/>
    <w:link w:val="37"/>
    <w:qFormat/>
    <w:uiPriority w:val="0"/>
    <w:pPr>
      <w:keepNext/>
      <w:keepLines/>
      <w:adjustRightInd w:val="0"/>
      <w:snapToGrid w:val="0"/>
      <w:spacing w:before="240" w:after="64" w:line="320" w:lineRule="auto"/>
      <w:ind w:firstLine="640" w:firstLineChars="200"/>
      <w:outlineLvl w:val="6"/>
    </w:pPr>
    <w:rPr>
      <w:b/>
      <w:bCs/>
      <w:sz w:val="24"/>
    </w:rPr>
  </w:style>
  <w:style w:type="paragraph" w:styleId="9">
    <w:name w:val="heading 8"/>
    <w:basedOn w:val="1"/>
    <w:next w:val="1"/>
    <w:link w:val="38"/>
    <w:qFormat/>
    <w:uiPriority w:val="0"/>
    <w:pPr>
      <w:keepNext/>
      <w:keepLines/>
      <w:adjustRightInd w:val="0"/>
      <w:snapToGrid w:val="0"/>
      <w:spacing w:before="240" w:after="64" w:line="320" w:lineRule="auto"/>
      <w:ind w:firstLine="640" w:firstLineChars="200"/>
      <w:outlineLvl w:val="7"/>
    </w:pPr>
    <w:rPr>
      <w:rFonts w:ascii="Cambria" w:hAnsi="Cambria"/>
      <w:sz w:val="24"/>
    </w:rPr>
  </w:style>
  <w:style w:type="paragraph" w:styleId="10">
    <w:name w:val="heading 9"/>
    <w:basedOn w:val="1"/>
    <w:next w:val="1"/>
    <w:link w:val="39"/>
    <w:qFormat/>
    <w:uiPriority w:val="0"/>
    <w:pPr>
      <w:keepNext/>
      <w:keepLines/>
      <w:adjustRightInd w:val="0"/>
      <w:snapToGrid w:val="0"/>
      <w:spacing w:before="240" w:after="64" w:line="320" w:lineRule="auto"/>
      <w:ind w:firstLine="640" w:firstLineChars="200"/>
      <w:outlineLvl w:val="8"/>
    </w:pPr>
    <w:rPr>
      <w:rFonts w:ascii="Cambria" w:hAnsi="Cambria"/>
      <w:szCs w:val="21"/>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pPr>
      <w:adjustRightInd w:val="0"/>
      <w:snapToGrid w:val="0"/>
      <w:spacing w:line="355" w:lineRule="auto"/>
      <w:ind w:firstLine="640" w:firstLineChars="200"/>
    </w:pPr>
    <w:rPr>
      <w:rFonts w:ascii="Cambria" w:hAnsi="Cambria" w:eastAsia="黑体"/>
      <w:snapToGrid w:val="0"/>
      <w:kern w:val="0"/>
      <w:sz w:val="20"/>
      <w:szCs w:val="20"/>
    </w:rPr>
  </w:style>
  <w:style w:type="paragraph" w:styleId="12">
    <w:name w:val="annotation text"/>
    <w:basedOn w:val="1"/>
    <w:link w:val="40"/>
    <w:qFormat/>
    <w:uiPriority w:val="0"/>
    <w:pPr>
      <w:adjustRightInd w:val="0"/>
      <w:snapToGrid w:val="0"/>
      <w:spacing w:line="355" w:lineRule="auto"/>
      <w:ind w:firstLine="640" w:firstLineChars="200"/>
      <w:jc w:val="left"/>
    </w:pPr>
    <w:rPr>
      <w:rFonts w:eastAsia="仿宋_GB2312"/>
      <w:snapToGrid w:val="0"/>
      <w:kern w:val="0"/>
      <w:sz w:val="32"/>
      <w:szCs w:val="32"/>
    </w:rPr>
  </w:style>
  <w:style w:type="paragraph" w:styleId="13">
    <w:name w:val="Block Text"/>
    <w:basedOn w:val="1"/>
    <w:next w:val="1"/>
    <w:link w:val="41"/>
    <w:qFormat/>
    <w:uiPriority w:val="0"/>
    <w:pPr>
      <w:adjustRightInd w:val="0"/>
      <w:snapToGrid w:val="0"/>
      <w:spacing w:line="355" w:lineRule="auto"/>
      <w:ind w:firstLine="640" w:firstLineChars="200"/>
    </w:pPr>
    <w:rPr>
      <w:i/>
      <w:iCs/>
      <w:color w:val="000000"/>
    </w:rPr>
  </w:style>
  <w:style w:type="paragraph" w:styleId="14">
    <w:name w:val="Plain Text"/>
    <w:basedOn w:val="1"/>
    <w:qFormat/>
    <w:uiPriority w:val="0"/>
    <w:rPr>
      <w:rFonts w:ascii="宋体" w:hAnsi="Courier New" w:cs="Courier New"/>
      <w:szCs w:val="21"/>
    </w:rPr>
  </w:style>
  <w:style w:type="paragraph" w:styleId="15">
    <w:name w:val="Date"/>
    <w:basedOn w:val="1"/>
    <w:next w:val="1"/>
    <w:qFormat/>
    <w:uiPriority w:val="0"/>
    <w:pPr>
      <w:adjustRightInd w:val="0"/>
      <w:snapToGrid w:val="0"/>
      <w:spacing w:line="355" w:lineRule="auto"/>
      <w:ind w:left="100" w:leftChars="2500" w:firstLine="640" w:firstLineChars="200"/>
    </w:pPr>
    <w:rPr>
      <w:rFonts w:eastAsia="仿宋_GB2312"/>
      <w:snapToGrid w:val="0"/>
      <w:kern w:val="0"/>
      <w:sz w:val="32"/>
      <w:szCs w:val="20"/>
    </w:rPr>
  </w:style>
  <w:style w:type="paragraph" w:styleId="16">
    <w:name w:val="Balloon Text"/>
    <w:basedOn w:val="1"/>
    <w:link w:val="44"/>
    <w:qFormat/>
    <w:uiPriority w:val="0"/>
    <w:rPr>
      <w:rFonts w:ascii="Calibri" w:hAnsi="Calibri"/>
      <w:sz w:val="18"/>
      <w:szCs w:val="18"/>
    </w:rPr>
  </w:style>
  <w:style w:type="paragraph" w:styleId="17">
    <w:name w:val="footer"/>
    <w:basedOn w:val="1"/>
    <w:link w:val="45"/>
    <w:qFormat/>
    <w:uiPriority w:val="0"/>
    <w:pPr>
      <w:tabs>
        <w:tab w:val="center" w:pos="4153"/>
        <w:tab w:val="right" w:pos="8306"/>
      </w:tabs>
      <w:snapToGrid w:val="0"/>
      <w:jc w:val="left"/>
    </w:pPr>
    <w:rPr>
      <w:sz w:val="18"/>
      <w:szCs w:val="18"/>
    </w:rPr>
  </w:style>
  <w:style w:type="paragraph" w:styleId="18">
    <w:name w:val="header"/>
    <w:basedOn w:val="1"/>
    <w:link w:val="46"/>
    <w:qFormat/>
    <w:uiPriority w:val="0"/>
    <w:pPr>
      <w:pBdr>
        <w:bottom w:val="single" w:color="auto" w:sz="6" w:space="1"/>
      </w:pBdr>
      <w:tabs>
        <w:tab w:val="center" w:pos="4153"/>
        <w:tab w:val="right" w:pos="8306"/>
      </w:tabs>
      <w:snapToGrid w:val="0"/>
      <w:jc w:val="center"/>
    </w:pPr>
    <w:rPr>
      <w:sz w:val="18"/>
      <w:szCs w:val="18"/>
    </w:rPr>
  </w:style>
  <w:style w:type="paragraph" w:styleId="19">
    <w:name w:val="Subtitle"/>
    <w:basedOn w:val="1"/>
    <w:next w:val="1"/>
    <w:link w:val="47"/>
    <w:qFormat/>
    <w:uiPriority w:val="0"/>
    <w:pPr>
      <w:adjustRightInd w:val="0"/>
      <w:snapToGrid w:val="0"/>
      <w:spacing w:before="240" w:after="60" w:line="312" w:lineRule="auto"/>
      <w:ind w:firstLine="640" w:firstLineChars="200"/>
      <w:jc w:val="center"/>
      <w:outlineLvl w:val="1"/>
    </w:pPr>
    <w:rPr>
      <w:rFonts w:ascii="Cambria" w:hAnsi="Cambria"/>
      <w:b/>
      <w:bCs/>
      <w:kern w:val="28"/>
      <w:sz w:val="32"/>
      <w:szCs w:val="32"/>
    </w:rPr>
  </w:style>
  <w:style w:type="paragraph" w:styleId="20">
    <w:name w:val="footnote text"/>
    <w:basedOn w:val="1"/>
    <w:link w:val="48"/>
    <w:qFormat/>
    <w:uiPriority w:val="0"/>
    <w:pPr>
      <w:adjustRightInd w:val="0"/>
      <w:snapToGrid w:val="0"/>
      <w:spacing w:line="355" w:lineRule="auto"/>
      <w:ind w:firstLine="640" w:firstLineChars="200"/>
      <w:jc w:val="left"/>
    </w:pPr>
    <w:rPr>
      <w:sz w:val="18"/>
      <w:szCs w:val="18"/>
    </w:rPr>
  </w:style>
  <w:style w:type="paragraph" w:styleId="21">
    <w:name w:val="Normal (Web)"/>
    <w:basedOn w:val="1"/>
    <w:unhideWhenUsed/>
    <w:qFormat/>
    <w:uiPriority w:val="99"/>
    <w:pPr>
      <w:spacing w:beforeAutospacing="1" w:after="100" w:afterAutospacing="1"/>
    </w:pPr>
    <w:rPr>
      <w:sz w:val="24"/>
    </w:rPr>
  </w:style>
  <w:style w:type="paragraph" w:styleId="22">
    <w:name w:val="Title"/>
    <w:basedOn w:val="1"/>
    <w:next w:val="1"/>
    <w:link w:val="49"/>
    <w:qFormat/>
    <w:uiPriority w:val="0"/>
    <w:pPr>
      <w:adjustRightInd w:val="0"/>
      <w:snapToGrid w:val="0"/>
      <w:spacing w:before="240" w:after="60" w:line="355" w:lineRule="auto"/>
      <w:ind w:firstLine="640" w:firstLineChars="200"/>
      <w:jc w:val="center"/>
      <w:outlineLvl w:val="0"/>
    </w:pPr>
    <w:rPr>
      <w:rFonts w:ascii="Cambria" w:hAnsi="Cambria"/>
      <w:b/>
      <w:bCs/>
      <w:sz w:val="32"/>
      <w:szCs w:val="32"/>
    </w:rPr>
  </w:style>
  <w:style w:type="character" w:styleId="25">
    <w:name w:val="Strong"/>
    <w:qFormat/>
    <w:uiPriority w:val="0"/>
    <w:rPr>
      <w:b/>
      <w:bCs/>
    </w:rPr>
  </w:style>
  <w:style w:type="character" w:styleId="26">
    <w:name w:val="page number"/>
    <w:qFormat/>
    <w:uiPriority w:val="0"/>
    <w:rPr>
      <w:rFonts w:cs="Times New Roman"/>
    </w:rPr>
  </w:style>
  <w:style w:type="character" w:styleId="27">
    <w:name w:val="FollowedHyperlink"/>
    <w:unhideWhenUsed/>
    <w:qFormat/>
    <w:uiPriority w:val="99"/>
    <w:rPr>
      <w:color w:val="800080"/>
      <w:u w:val="single"/>
    </w:rPr>
  </w:style>
  <w:style w:type="character" w:styleId="28">
    <w:name w:val="Emphasis"/>
    <w:qFormat/>
    <w:uiPriority w:val="0"/>
    <w:rPr>
      <w:i/>
      <w:iCs/>
    </w:rPr>
  </w:style>
  <w:style w:type="character" w:styleId="29">
    <w:name w:val="Hyperlink"/>
    <w:unhideWhenUsed/>
    <w:qFormat/>
    <w:uiPriority w:val="99"/>
    <w:rPr>
      <w:color w:val="0000FF"/>
      <w:u w:val="single"/>
    </w:rPr>
  </w:style>
  <w:style w:type="character" w:styleId="30">
    <w:name w:val="footnote reference"/>
    <w:qFormat/>
    <w:uiPriority w:val="0"/>
    <w:rPr>
      <w:vertAlign w:val="superscript"/>
    </w:rPr>
  </w:style>
  <w:style w:type="character" w:customStyle="1" w:styleId="31">
    <w:name w:val="标题 1 Char"/>
    <w:link w:val="2"/>
    <w:qFormat/>
    <w:uiPriority w:val="0"/>
    <w:rPr>
      <w:rFonts w:ascii="Times New Roman" w:hAnsi="Times New Roman" w:eastAsia="黑体" w:cs="Times New Roman"/>
      <w:kern w:val="0"/>
      <w:sz w:val="32"/>
      <w:szCs w:val="32"/>
    </w:rPr>
  </w:style>
  <w:style w:type="character" w:customStyle="1" w:styleId="32">
    <w:name w:val="标题 2 Char"/>
    <w:link w:val="3"/>
    <w:qFormat/>
    <w:uiPriority w:val="0"/>
    <w:rPr>
      <w:rFonts w:ascii="Times New Roman" w:hAnsi="Times New Roman" w:eastAsia="楷体_GB2312" w:cs="Times New Roman"/>
      <w:b/>
      <w:kern w:val="0"/>
      <w:sz w:val="32"/>
      <w:szCs w:val="32"/>
    </w:rPr>
  </w:style>
  <w:style w:type="character" w:customStyle="1" w:styleId="33">
    <w:name w:val="标题 3 Char"/>
    <w:link w:val="4"/>
    <w:qFormat/>
    <w:uiPriority w:val="0"/>
    <w:rPr>
      <w:rFonts w:ascii="Times New Roman" w:hAnsi="Times New Roman" w:eastAsia="仿宋_GB2312" w:cs="Times New Roman"/>
      <w:kern w:val="0"/>
      <w:sz w:val="32"/>
      <w:szCs w:val="32"/>
    </w:rPr>
  </w:style>
  <w:style w:type="character" w:customStyle="1" w:styleId="34">
    <w:name w:val="标题 4 Char"/>
    <w:link w:val="5"/>
    <w:qFormat/>
    <w:uiPriority w:val="0"/>
    <w:rPr>
      <w:rFonts w:ascii="Cambria" w:hAnsi="Cambria" w:eastAsia="黑体" w:cs="Times New Roman"/>
      <w:bCs/>
      <w:kern w:val="0"/>
      <w:sz w:val="24"/>
      <w:szCs w:val="28"/>
    </w:rPr>
  </w:style>
  <w:style w:type="character" w:customStyle="1" w:styleId="35">
    <w:name w:val="标题 5 Char"/>
    <w:link w:val="6"/>
    <w:qFormat/>
    <w:uiPriority w:val="0"/>
    <w:rPr>
      <w:rFonts w:ascii="Times New Roman" w:hAnsi="Times New Roman" w:eastAsia="宋体" w:cs="Times New Roman"/>
      <w:b/>
      <w:bCs/>
      <w:sz w:val="28"/>
      <w:szCs w:val="28"/>
    </w:rPr>
  </w:style>
  <w:style w:type="character" w:customStyle="1" w:styleId="36">
    <w:name w:val="标题 6 Char"/>
    <w:link w:val="7"/>
    <w:qFormat/>
    <w:uiPriority w:val="0"/>
    <w:rPr>
      <w:rFonts w:ascii="Cambria" w:hAnsi="Cambria" w:eastAsia="宋体" w:cs="Times New Roman"/>
      <w:b/>
      <w:bCs/>
      <w:sz w:val="24"/>
      <w:szCs w:val="24"/>
    </w:rPr>
  </w:style>
  <w:style w:type="character" w:customStyle="1" w:styleId="37">
    <w:name w:val="标题 7 Char"/>
    <w:link w:val="8"/>
    <w:qFormat/>
    <w:uiPriority w:val="0"/>
    <w:rPr>
      <w:rFonts w:ascii="Times New Roman" w:hAnsi="Times New Roman" w:eastAsia="宋体" w:cs="Times New Roman"/>
      <w:b/>
      <w:bCs/>
      <w:sz w:val="24"/>
      <w:szCs w:val="24"/>
    </w:rPr>
  </w:style>
  <w:style w:type="character" w:customStyle="1" w:styleId="38">
    <w:name w:val="标题 8 Char"/>
    <w:link w:val="9"/>
    <w:qFormat/>
    <w:uiPriority w:val="0"/>
    <w:rPr>
      <w:rFonts w:ascii="Cambria" w:hAnsi="Cambria" w:eastAsia="宋体" w:cs="Times New Roman"/>
      <w:sz w:val="24"/>
      <w:szCs w:val="24"/>
    </w:rPr>
  </w:style>
  <w:style w:type="character" w:customStyle="1" w:styleId="39">
    <w:name w:val="标题 9 Char"/>
    <w:link w:val="10"/>
    <w:qFormat/>
    <w:uiPriority w:val="0"/>
    <w:rPr>
      <w:rFonts w:ascii="Cambria" w:hAnsi="Cambria" w:eastAsia="宋体" w:cs="Times New Roman"/>
      <w:szCs w:val="21"/>
    </w:rPr>
  </w:style>
  <w:style w:type="character" w:customStyle="1" w:styleId="40">
    <w:name w:val="批注文字 Char"/>
    <w:link w:val="12"/>
    <w:qFormat/>
    <w:uiPriority w:val="0"/>
    <w:rPr>
      <w:rFonts w:ascii="Times New Roman" w:hAnsi="Times New Roman" w:eastAsia="仿宋_GB2312" w:cs="Times New Roman"/>
      <w:snapToGrid w:val="0"/>
      <w:kern w:val="0"/>
      <w:sz w:val="32"/>
      <w:szCs w:val="32"/>
    </w:rPr>
  </w:style>
  <w:style w:type="character" w:customStyle="1" w:styleId="41">
    <w:name w:val="文本块 Char"/>
    <w:link w:val="13"/>
    <w:semiHidden/>
    <w:qFormat/>
    <w:uiPriority w:val="0"/>
    <w:rPr>
      <w:i/>
      <w:iCs/>
      <w:color w:val="000000"/>
      <w:szCs w:val="24"/>
    </w:rPr>
  </w:style>
  <w:style w:type="character" w:customStyle="1" w:styleId="42">
    <w:name w:val="日期 Char"/>
    <w:link w:val="43"/>
    <w:qFormat/>
    <w:uiPriority w:val="0"/>
    <w:rPr>
      <w:rFonts w:eastAsia="仿宋_GB2312"/>
      <w:snapToGrid w:val="0"/>
      <w:sz w:val="32"/>
      <w:szCs w:val="32"/>
    </w:rPr>
  </w:style>
  <w:style w:type="paragraph" w:customStyle="1" w:styleId="43">
    <w:name w:val="日期1"/>
    <w:basedOn w:val="1"/>
    <w:next w:val="1"/>
    <w:link w:val="42"/>
    <w:qFormat/>
    <w:uiPriority w:val="0"/>
    <w:pPr>
      <w:adjustRightInd w:val="0"/>
      <w:snapToGrid w:val="0"/>
      <w:spacing w:line="355" w:lineRule="auto"/>
      <w:ind w:left="100" w:leftChars="2500" w:firstLine="640" w:firstLineChars="200"/>
    </w:pPr>
    <w:rPr>
      <w:rFonts w:eastAsia="仿宋_GB2312"/>
      <w:snapToGrid w:val="0"/>
      <w:sz w:val="32"/>
      <w:szCs w:val="32"/>
    </w:rPr>
  </w:style>
  <w:style w:type="character" w:customStyle="1" w:styleId="44">
    <w:name w:val="批注框文本 Char"/>
    <w:link w:val="16"/>
    <w:qFormat/>
    <w:uiPriority w:val="0"/>
    <w:rPr>
      <w:rFonts w:ascii="Calibri" w:hAnsi="Calibri" w:eastAsia="宋体" w:cs="Times New Roman"/>
      <w:sz w:val="18"/>
      <w:szCs w:val="18"/>
    </w:rPr>
  </w:style>
  <w:style w:type="character" w:customStyle="1" w:styleId="45">
    <w:name w:val="页脚 Char"/>
    <w:link w:val="17"/>
    <w:qFormat/>
    <w:uiPriority w:val="0"/>
    <w:rPr>
      <w:sz w:val="18"/>
      <w:szCs w:val="18"/>
    </w:rPr>
  </w:style>
  <w:style w:type="character" w:customStyle="1" w:styleId="46">
    <w:name w:val="页眉 Char"/>
    <w:link w:val="18"/>
    <w:qFormat/>
    <w:uiPriority w:val="0"/>
    <w:rPr>
      <w:sz w:val="18"/>
      <w:szCs w:val="18"/>
    </w:rPr>
  </w:style>
  <w:style w:type="character" w:customStyle="1" w:styleId="47">
    <w:name w:val="副标题 Char"/>
    <w:link w:val="19"/>
    <w:qFormat/>
    <w:uiPriority w:val="0"/>
    <w:rPr>
      <w:rFonts w:ascii="Cambria" w:hAnsi="Cambria" w:cs="Times New Roman"/>
      <w:b/>
      <w:bCs/>
      <w:kern w:val="28"/>
      <w:sz w:val="32"/>
      <w:szCs w:val="32"/>
    </w:rPr>
  </w:style>
  <w:style w:type="character" w:customStyle="1" w:styleId="48">
    <w:name w:val="脚注文本 Char"/>
    <w:link w:val="20"/>
    <w:qFormat/>
    <w:uiPriority w:val="0"/>
    <w:rPr>
      <w:sz w:val="18"/>
      <w:szCs w:val="18"/>
    </w:rPr>
  </w:style>
  <w:style w:type="character" w:customStyle="1" w:styleId="49">
    <w:name w:val="标题 Char"/>
    <w:link w:val="22"/>
    <w:qFormat/>
    <w:uiPriority w:val="0"/>
    <w:rPr>
      <w:rFonts w:ascii="Cambria" w:hAnsi="Cambria" w:cs="Times New Roman"/>
      <w:b/>
      <w:bCs/>
      <w:sz w:val="32"/>
      <w:szCs w:val="32"/>
    </w:rPr>
  </w:style>
  <w:style w:type="paragraph" w:customStyle="1" w:styleId="5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1">
    <w:name w:val="列出段落1"/>
    <w:basedOn w:val="1"/>
    <w:qFormat/>
    <w:uiPriority w:val="0"/>
    <w:pPr>
      <w:ind w:firstLine="420" w:firstLineChars="200"/>
    </w:pPr>
  </w:style>
  <w:style w:type="paragraph" w:customStyle="1" w:styleId="52">
    <w:name w:val="List Paragraph1"/>
    <w:basedOn w:val="1"/>
    <w:qFormat/>
    <w:uiPriority w:val="0"/>
    <w:pPr>
      <w:ind w:firstLine="420" w:firstLineChars="200"/>
    </w:pPr>
    <w:rPr>
      <w:rFonts w:ascii="Calibri" w:hAnsi="Calibri"/>
      <w:szCs w:val="22"/>
    </w:rPr>
  </w:style>
  <w:style w:type="paragraph" w:customStyle="1" w:styleId="53">
    <w:name w:val="纯文本1"/>
    <w:basedOn w:val="1"/>
    <w:link w:val="54"/>
    <w:qFormat/>
    <w:uiPriority w:val="0"/>
    <w:rPr>
      <w:rFonts w:ascii="宋体" w:hAnsi="Courier New" w:cs="Courier New"/>
      <w:szCs w:val="21"/>
    </w:rPr>
  </w:style>
  <w:style w:type="character" w:customStyle="1" w:styleId="54">
    <w:name w:val="纯文本 Char"/>
    <w:link w:val="53"/>
    <w:qFormat/>
    <w:uiPriority w:val="0"/>
    <w:rPr>
      <w:rFonts w:ascii="宋体" w:hAnsi="Courier New" w:eastAsia="宋体" w:cs="Courier New"/>
      <w:szCs w:val="21"/>
    </w:rPr>
  </w:style>
  <w:style w:type="paragraph" w:customStyle="1" w:styleId="55">
    <w:name w:val="无间隔1"/>
    <w:basedOn w:val="1"/>
    <w:link w:val="56"/>
    <w:qFormat/>
    <w:uiPriority w:val="0"/>
    <w:pPr>
      <w:adjustRightInd w:val="0"/>
      <w:snapToGrid w:val="0"/>
      <w:spacing w:line="355" w:lineRule="auto"/>
      <w:ind w:firstLine="640" w:firstLineChars="200"/>
    </w:pPr>
  </w:style>
  <w:style w:type="character" w:customStyle="1" w:styleId="56">
    <w:name w:val="无间隔 Char"/>
    <w:link w:val="55"/>
    <w:semiHidden/>
    <w:uiPriority w:val="0"/>
    <w:rPr>
      <w:szCs w:val="24"/>
    </w:rPr>
  </w:style>
  <w:style w:type="paragraph" w:customStyle="1" w:styleId="57">
    <w:name w:val="浙师大论文"/>
    <w:basedOn w:val="5"/>
    <w:link w:val="58"/>
    <w:qFormat/>
    <w:uiPriority w:val="0"/>
    <w:pPr>
      <w:ind w:firstLine="480"/>
    </w:pPr>
  </w:style>
  <w:style w:type="character" w:customStyle="1" w:styleId="58">
    <w:name w:val="浙师大论文 Char Char"/>
    <w:link w:val="57"/>
    <w:semiHidden/>
    <w:qFormat/>
    <w:uiPriority w:val="0"/>
  </w:style>
  <w:style w:type="paragraph" w:customStyle="1" w:styleId="59">
    <w:name w:val="关键词"/>
    <w:basedOn w:val="1"/>
    <w:link w:val="60"/>
    <w:qFormat/>
    <w:uiPriority w:val="0"/>
    <w:pPr>
      <w:widowControl/>
      <w:tabs>
        <w:tab w:val="left" w:pos="0"/>
      </w:tabs>
      <w:adjustRightInd w:val="0"/>
      <w:snapToGrid w:val="0"/>
      <w:spacing w:line="360" w:lineRule="auto"/>
      <w:ind w:firstLine="640" w:firstLineChars="200"/>
    </w:pPr>
    <w:rPr>
      <w:rFonts w:eastAsia="黑体"/>
      <w:sz w:val="28"/>
      <w:szCs w:val="28"/>
    </w:rPr>
  </w:style>
  <w:style w:type="character" w:customStyle="1" w:styleId="60">
    <w:name w:val="关键词 Char Char"/>
    <w:link w:val="59"/>
    <w:semiHidden/>
    <w:qFormat/>
    <w:uiPriority w:val="0"/>
    <w:rPr>
      <w:rFonts w:eastAsia="黑体"/>
      <w:sz w:val="28"/>
      <w:szCs w:val="28"/>
    </w:rPr>
  </w:style>
  <w:style w:type="paragraph" w:customStyle="1" w:styleId="61">
    <w:name w:val="参考文献"/>
    <w:basedOn w:val="2"/>
    <w:link w:val="62"/>
    <w:qFormat/>
    <w:uiPriority w:val="0"/>
    <w:pPr>
      <w:spacing w:before="1000" w:after="400"/>
    </w:pPr>
    <w:rPr>
      <w:rFonts w:ascii="宋体" w:hAnsi="宋体"/>
    </w:rPr>
  </w:style>
  <w:style w:type="character" w:customStyle="1" w:styleId="62">
    <w:name w:val="参考文献 Char Char"/>
    <w:link w:val="61"/>
    <w:semiHidden/>
    <w:qFormat/>
    <w:uiPriority w:val="0"/>
    <w:rPr>
      <w:rFonts w:ascii="宋体" w:hAnsi="宋体" w:eastAsia="黑体"/>
      <w:sz w:val="32"/>
      <w:szCs w:val="32"/>
    </w:rPr>
  </w:style>
  <w:style w:type="paragraph" w:customStyle="1" w:styleId="63">
    <w:name w:val="图表题注"/>
    <w:basedOn w:val="1"/>
    <w:link w:val="64"/>
    <w:qFormat/>
    <w:uiPriority w:val="0"/>
    <w:pPr>
      <w:widowControl/>
      <w:tabs>
        <w:tab w:val="left" w:pos="377"/>
      </w:tabs>
      <w:adjustRightInd w:val="0"/>
      <w:snapToGrid w:val="0"/>
      <w:spacing w:line="360" w:lineRule="auto"/>
      <w:ind w:firstLine="420" w:firstLineChars="200"/>
      <w:jc w:val="center"/>
    </w:pPr>
    <w:rPr>
      <w:rFonts w:ascii="楷体_GB2312" w:eastAsia="楷体_GB2312"/>
      <w:szCs w:val="21"/>
    </w:rPr>
  </w:style>
  <w:style w:type="character" w:customStyle="1" w:styleId="64">
    <w:name w:val="图表题注 Char Char"/>
    <w:link w:val="63"/>
    <w:semiHidden/>
    <w:qFormat/>
    <w:uiPriority w:val="0"/>
    <w:rPr>
      <w:rFonts w:ascii="楷体_GB2312" w:eastAsia="楷体_GB2312"/>
      <w:szCs w:val="21"/>
    </w:rPr>
  </w:style>
  <w:style w:type="paragraph" w:customStyle="1" w:styleId="65">
    <w:name w:val="目录标题"/>
    <w:basedOn w:val="2"/>
    <w:link w:val="66"/>
    <w:qFormat/>
    <w:uiPriority w:val="0"/>
    <w:rPr>
      <w:rFonts w:ascii="黑体" w:hAnsi="Cambria"/>
      <w:kern w:val="44"/>
    </w:rPr>
  </w:style>
  <w:style w:type="character" w:customStyle="1" w:styleId="66">
    <w:name w:val="目录标题 Char Char"/>
    <w:link w:val="65"/>
    <w:semiHidden/>
    <w:qFormat/>
    <w:uiPriority w:val="0"/>
    <w:rPr>
      <w:rFonts w:ascii="黑体" w:hAnsi="Cambria" w:eastAsia="黑体"/>
      <w:kern w:val="44"/>
      <w:sz w:val="32"/>
      <w:szCs w:val="32"/>
    </w:rPr>
  </w:style>
  <w:style w:type="paragraph" w:customStyle="1" w:styleId="67">
    <w:name w:val="明显引用1"/>
    <w:basedOn w:val="1"/>
    <w:next w:val="1"/>
    <w:link w:val="68"/>
    <w:qFormat/>
    <w:uiPriority w:val="0"/>
    <w:pPr>
      <w:pBdr>
        <w:bottom w:val="single" w:color="4F81BD" w:sz="4" w:space="4"/>
      </w:pBdr>
      <w:adjustRightInd w:val="0"/>
      <w:snapToGrid w:val="0"/>
      <w:spacing w:before="200" w:after="280" w:line="355" w:lineRule="auto"/>
      <w:ind w:left="936" w:right="936" w:firstLine="640" w:firstLineChars="200"/>
    </w:pPr>
    <w:rPr>
      <w:b/>
      <w:bCs/>
      <w:i/>
      <w:iCs/>
      <w:color w:val="4F81BD"/>
    </w:rPr>
  </w:style>
  <w:style w:type="character" w:customStyle="1" w:styleId="68">
    <w:name w:val="明显引用 Char"/>
    <w:link w:val="67"/>
    <w:semiHidden/>
    <w:qFormat/>
    <w:uiPriority w:val="0"/>
    <w:rPr>
      <w:b/>
      <w:bCs/>
      <w:i/>
      <w:iCs/>
      <w:color w:val="4F81BD"/>
      <w:szCs w:val="24"/>
    </w:rPr>
  </w:style>
  <w:style w:type="paragraph" w:customStyle="1" w:styleId="69">
    <w:name w:val="摘要"/>
    <w:basedOn w:val="2"/>
    <w:link w:val="70"/>
    <w:qFormat/>
    <w:uiPriority w:val="0"/>
    <w:pPr>
      <w:spacing w:before="100" w:beforeAutospacing="1" w:after="100" w:afterAutospacing="1" w:line="240" w:lineRule="auto"/>
    </w:pPr>
    <w:rPr>
      <w:sz w:val="30"/>
    </w:rPr>
  </w:style>
  <w:style w:type="character" w:customStyle="1" w:styleId="70">
    <w:name w:val="摘要 Char Char"/>
    <w:link w:val="69"/>
    <w:semiHidden/>
    <w:qFormat/>
    <w:uiPriority w:val="0"/>
    <w:rPr>
      <w:rFonts w:eastAsia="黑体"/>
      <w:sz w:val="30"/>
      <w:szCs w:val="32"/>
    </w:rPr>
  </w:style>
  <w:style w:type="paragraph" w:customStyle="1" w:styleId="71">
    <w:name w:val="_Style 4"/>
    <w:basedOn w:val="1"/>
    <w:qFormat/>
    <w:uiPriority w:val="0"/>
    <w:pPr>
      <w:widowControl/>
      <w:spacing w:after="160" w:line="240" w:lineRule="exact"/>
      <w:jc w:val="left"/>
    </w:pPr>
    <w:rPr>
      <w:rFonts w:ascii="Verdana" w:hAnsi="Verdana"/>
      <w:kern w:val="0"/>
      <w:sz w:val="20"/>
      <w:lang w:eastAsia="en-US"/>
    </w:rPr>
  </w:style>
  <w:style w:type="paragraph" w:customStyle="1" w:styleId="72">
    <w:name w:val="Char Char Char Char Char Char Char"/>
    <w:basedOn w:val="1"/>
    <w:qFormat/>
    <w:uiPriority w:val="0"/>
    <w:pPr>
      <w:adjustRightInd w:val="0"/>
      <w:snapToGrid w:val="0"/>
      <w:spacing w:line="355" w:lineRule="auto"/>
      <w:ind w:firstLine="640" w:firstLineChars="200"/>
    </w:pPr>
    <w:rPr>
      <w:rFonts w:eastAsia="仿宋_GB2312"/>
      <w:snapToGrid w:val="0"/>
      <w:kern w:val="0"/>
      <w:sz w:val="32"/>
      <w:szCs w:val="32"/>
    </w:rPr>
  </w:style>
  <w:style w:type="paragraph" w:customStyle="1" w:styleId="73">
    <w:name w:val="论文题目（摘要）"/>
    <w:qFormat/>
    <w:uiPriority w:val="0"/>
    <w:pPr>
      <w:spacing w:before="100" w:beforeAutospacing="1" w:after="100" w:afterAutospacing="1"/>
      <w:jc w:val="center"/>
    </w:pPr>
    <w:rPr>
      <w:rFonts w:ascii="Times New Roman" w:hAnsi="Times New Roman" w:eastAsia="黑体" w:cs="Times New Roman"/>
      <w:bCs/>
      <w:kern w:val="44"/>
      <w:sz w:val="32"/>
      <w:szCs w:val="32"/>
      <w:lang w:val="en-US" w:eastAsia="zh-CN" w:bidi="ar-SA"/>
    </w:rPr>
  </w:style>
  <w:style w:type="paragraph" w:customStyle="1" w:styleId="74">
    <w:name w:val="TOC 标题1"/>
    <w:basedOn w:val="2"/>
    <w:next w:val="1"/>
    <w:qFormat/>
    <w:uiPriority w:val="0"/>
    <w:pPr>
      <w:spacing w:before="340" w:after="330" w:line="578" w:lineRule="auto"/>
      <w:outlineLvl w:val="9"/>
    </w:pPr>
    <w:rPr>
      <w:rFonts w:eastAsia="宋体"/>
      <w:b/>
      <w:sz w:val="44"/>
      <w:szCs w:val="44"/>
    </w:rPr>
  </w:style>
  <w:style w:type="paragraph" w:customStyle="1" w:styleId="75">
    <w:name w:val="p0"/>
    <w:basedOn w:val="1"/>
    <w:qFormat/>
    <w:uiPriority w:val="0"/>
    <w:pPr>
      <w:widowControl/>
      <w:adjustRightInd w:val="0"/>
      <w:snapToGrid w:val="0"/>
      <w:spacing w:line="355" w:lineRule="auto"/>
      <w:ind w:firstLine="640" w:firstLineChars="200"/>
    </w:pPr>
    <w:rPr>
      <w:rFonts w:hint="eastAsia" w:eastAsia="仿宋_GB2312"/>
      <w:snapToGrid w:val="0"/>
      <w:kern w:val="0"/>
      <w:sz w:val="32"/>
      <w:szCs w:val="20"/>
    </w:rPr>
  </w:style>
  <w:style w:type="paragraph" w:customStyle="1" w:styleId="76">
    <w:name w:val="列出段落11"/>
    <w:basedOn w:val="1"/>
    <w:qFormat/>
    <w:uiPriority w:val="0"/>
    <w:pPr>
      <w:spacing w:before="100" w:beforeAutospacing="1"/>
      <w:ind w:left="720"/>
      <w:contextualSpacing/>
    </w:pPr>
    <w:rPr>
      <w:szCs w:val="21"/>
    </w:rPr>
  </w:style>
  <w:style w:type="paragraph" w:customStyle="1" w:styleId="77">
    <w:name w:val="纯文本11"/>
    <w:qFormat/>
    <w:uiPriority w:val="0"/>
    <w:rPr>
      <w:rFonts w:ascii="宋体" w:hAnsi="Courier New" w:eastAsia="宋体" w:cs="Times New Roman"/>
      <w:szCs w:val="21"/>
      <w:lang w:val="en-US" w:eastAsia="zh-CN" w:bidi="ar-SA"/>
    </w:rPr>
  </w:style>
  <w:style w:type="paragraph" w:customStyle="1" w:styleId="78">
    <w:name w:val="普通(网站)1"/>
    <w:basedOn w:val="1"/>
    <w:qFormat/>
    <w:uiPriority w:val="0"/>
    <w:pPr>
      <w:widowControl/>
      <w:spacing w:before="100" w:beforeAutospacing="1" w:after="100" w:afterAutospacing="1"/>
      <w:jc w:val="left"/>
    </w:pPr>
    <w:rPr>
      <w:rFonts w:ascii="宋体" w:hAnsi="宋体" w:cs="宋体"/>
      <w:kern w:val="0"/>
      <w:sz w:val="24"/>
    </w:rPr>
  </w:style>
  <w:style w:type="character" w:customStyle="1" w:styleId="79">
    <w:name w:val="font41"/>
    <w:qFormat/>
    <w:uiPriority w:val="0"/>
    <w:rPr>
      <w:rFonts w:hint="eastAsia" w:ascii="宋体" w:hAnsi="宋体" w:eastAsia="宋体" w:cs="宋体"/>
      <w:b/>
      <w:color w:val="000000"/>
      <w:sz w:val="28"/>
      <w:szCs w:val="28"/>
      <w:u w:val="none"/>
    </w:rPr>
  </w:style>
  <w:style w:type="character" w:customStyle="1" w:styleId="80">
    <w:name w:val="font61"/>
    <w:qFormat/>
    <w:uiPriority w:val="0"/>
    <w:rPr>
      <w:rFonts w:hint="eastAsia" w:ascii="宋体" w:hAnsi="宋体" w:eastAsia="宋体" w:cs="宋体"/>
      <w:b/>
      <w:color w:val="000000"/>
      <w:sz w:val="28"/>
      <w:szCs w:val="28"/>
      <w:u w:val="none"/>
      <w:vertAlign w:val="subscript"/>
    </w:rPr>
  </w:style>
  <w:style w:type="character" w:customStyle="1" w:styleId="81">
    <w:name w:val="font11"/>
    <w:qFormat/>
    <w:uiPriority w:val="0"/>
    <w:rPr>
      <w:rFonts w:hint="eastAsia" w:ascii="宋体" w:hAnsi="宋体" w:eastAsia="宋体" w:cs="宋体"/>
      <w:color w:val="000000"/>
      <w:sz w:val="22"/>
      <w:szCs w:val="22"/>
      <w:u w:val="none"/>
    </w:rPr>
  </w:style>
  <w:style w:type="character" w:customStyle="1" w:styleId="82">
    <w:name w:val="font01"/>
    <w:qFormat/>
    <w:uiPriority w:val="0"/>
    <w:rPr>
      <w:rFonts w:ascii="font-weight : 400" w:hAnsi="font-weight : 400" w:eastAsia="font-weight : 400" w:cs="font-weight : 400"/>
      <w:color w:val="000000"/>
      <w:sz w:val="22"/>
      <w:szCs w:val="22"/>
      <w:u w:val="none"/>
    </w:rPr>
  </w:style>
  <w:style w:type="character" w:customStyle="1" w:styleId="83">
    <w:name w:val="font21"/>
    <w:qFormat/>
    <w:uiPriority w:val="0"/>
    <w:rPr>
      <w:rFonts w:hint="eastAsia" w:ascii="宋体" w:hAnsi="宋体" w:eastAsia="宋体" w:cs="宋体"/>
      <w:color w:val="000000"/>
      <w:sz w:val="20"/>
      <w:szCs w:val="20"/>
      <w:u w:val="none"/>
    </w:rPr>
  </w:style>
  <w:style w:type="character" w:customStyle="1" w:styleId="84">
    <w:name w:val="font31"/>
    <w:qFormat/>
    <w:uiPriority w:val="0"/>
    <w:rPr>
      <w:rFonts w:hint="eastAsia" w:ascii="宋体" w:hAnsi="宋体" w:eastAsia="宋体" w:cs="宋体"/>
      <w:b/>
      <w:color w:val="000000"/>
      <w:sz w:val="20"/>
      <w:szCs w:val="20"/>
      <w:u w:val="none"/>
    </w:rPr>
  </w:style>
  <w:style w:type="character" w:customStyle="1" w:styleId="85">
    <w:name w:val="font51"/>
    <w:qFormat/>
    <w:uiPriority w:val="0"/>
    <w:rPr>
      <w:rFonts w:hint="eastAsia" w:ascii="宋体" w:hAnsi="宋体" w:eastAsia="宋体" w:cs="宋体"/>
      <w:b/>
      <w:color w:val="000000"/>
      <w:sz w:val="32"/>
      <w:szCs w:val="32"/>
      <w:u w:val="none"/>
    </w:rPr>
  </w:style>
  <w:style w:type="character" w:customStyle="1" w:styleId="86">
    <w:name w:val="font71"/>
    <w:qFormat/>
    <w:uiPriority w:val="0"/>
    <w:rPr>
      <w:rFonts w:hint="eastAsia" w:ascii="宋体" w:hAnsi="宋体" w:eastAsia="宋体" w:cs="宋体"/>
      <w:b/>
      <w:color w:val="000000"/>
      <w:sz w:val="30"/>
      <w:szCs w:val="30"/>
      <w:u w:val="none"/>
    </w:rPr>
  </w:style>
  <w:style w:type="character" w:customStyle="1" w:styleId="87">
    <w:name w:val="不明显参考1"/>
    <w:qFormat/>
    <w:uiPriority w:val="0"/>
    <w:rPr>
      <w:smallCaps/>
      <w:color w:val="C0504D"/>
      <w:u w:val="single"/>
    </w:rPr>
  </w:style>
  <w:style w:type="character" w:customStyle="1" w:styleId="88">
    <w:name w:val="15"/>
    <w:qFormat/>
    <w:uiPriority w:val="0"/>
    <w:rPr>
      <w:rFonts w:hint="default" w:ascii="Times New Roman" w:hAnsi="Times New Roman" w:cs="Times New Roman"/>
      <w:b/>
      <w:bCs/>
      <w:sz w:val="20"/>
      <w:szCs w:val="20"/>
    </w:rPr>
  </w:style>
  <w:style w:type="character" w:customStyle="1" w:styleId="89">
    <w:name w:val="明显强调1"/>
    <w:qFormat/>
    <w:uiPriority w:val="0"/>
    <w:rPr>
      <w:b/>
      <w:bCs/>
      <w:i/>
      <w:iCs/>
      <w:color w:val="4F81BD"/>
    </w:rPr>
  </w:style>
  <w:style w:type="character" w:customStyle="1" w:styleId="90">
    <w:name w:val="页码1"/>
    <w:basedOn w:val="24"/>
    <w:qFormat/>
    <w:uiPriority w:val="0"/>
  </w:style>
  <w:style w:type="character" w:customStyle="1" w:styleId="91">
    <w:name w:val="书籍标题1"/>
    <w:qFormat/>
    <w:uiPriority w:val="0"/>
    <w:rPr>
      <w:b/>
      <w:bCs/>
      <w:smallCaps/>
      <w:spacing w:val="5"/>
    </w:rPr>
  </w:style>
  <w:style w:type="character" w:customStyle="1" w:styleId="92">
    <w:name w:val="明显参考1"/>
    <w:qFormat/>
    <w:uiPriority w:val="0"/>
    <w:rPr>
      <w:b/>
      <w:bCs/>
      <w:smallCaps/>
      <w:color w:val="C0504D"/>
      <w:spacing w:val="5"/>
      <w:u w:val="single"/>
    </w:rPr>
  </w:style>
  <w:style w:type="character" w:customStyle="1" w:styleId="93">
    <w:name w:val="不明显强调1"/>
    <w:qFormat/>
    <w:uiPriority w:val="0"/>
    <w:rPr>
      <w:i/>
      <w:iCs/>
      <w:color w:val="808080"/>
    </w:rPr>
  </w:style>
  <w:style w:type="character" w:customStyle="1" w:styleId="94">
    <w:name w:val="明显引用 Char1"/>
    <w:qFormat/>
    <w:uiPriority w:val="0"/>
    <w:rPr>
      <w:rFonts w:ascii="Times New Roman" w:hAnsi="Times New Roman" w:eastAsia="宋体" w:cs="Times New Roman"/>
      <w:b/>
      <w:bCs/>
      <w:i/>
      <w:iCs/>
      <w:color w:val="4F81BD"/>
      <w:szCs w:val="24"/>
    </w:rPr>
  </w:style>
  <w:style w:type="character" w:customStyle="1" w:styleId="95">
    <w:name w:val="日期 Char1"/>
    <w:qFormat/>
    <w:uiPriority w:val="0"/>
    <w:rPr>
      <w:rFonts w:ascii="Times New Roman" w:hAnsi="Times New Roman" w:eastAsia="宋体" w:cs="Times New Roman"/>
      <w:szCs w:val="24"/>
    </w:rPr>
  </w:style>
  <w:style w:type="character" w:customStyle="1" w:styleId="96">
    <w:name w:val="脚注文本 Char1"/>
    <w:qFormat/>
    <w:uiPriority w:val="0"/>
    <w:rPr>
      <w:rFonts w:ascii="Times New Roman" w:hAnsi="Times New Roman" w:eastAsia="宋体" w:cs="Times New Roman"/>
      <w:sz w:val="18"/>
      <w:szCs w:val="18"/>
    </w:rPr>
  </w:style>
  <w:style w:type="character" w:customStyle="1" w:styleId="97">
    <w:name w:val="副标题 Char1"/>
    <w:qFormat/>
    <w:uiPriority w:val="0"/>
    <w:rPr>
      <w:rFonts w:ascii="Cambria" w:hAnsi="Cambria" w:eastAsia="宋体" w:cs="黑体"/>
      <w:b/>
      <w:bCs/>
      <w:kern w:val="28"/>
      <w:sz w:val="32"/>
      <w:szCs w:val="32"/>
    </w:rPr>
  </w:style>
  <w:style w:type="character" w:customStyle="1" w:styleId="98">
    <w:name w:val="引用 Char1"/>
    <w:qFormat/>
    <w:uiPriority w:val="0"/>
    <w:rPr>
      <w:rFonts w:ascii="Times New Roman" w:hAnsi="Times New Roman" w:eastAsia="宋体" w:cs="Times New Roman"/>
      <w:i/>
      <w:iCs/>
      <w:color w:val="000000"/>
      <w:szCs w:val="24"/>
    </w:rPr>
  </w:style>
  <w:style w:type="character" w:customStyle="1" w:styleId="99">
    <w:name w:val="标题 Char1"/>
    <w:qFormat/>
    <w:uiPriority w:val="0"/>
    <w:rPr>
      <w:rFonts w:ascii="Cambria" w:hAnsi="Cambria" w:eastAsia="宋体" w:cs="黑体"/>
      <w:b/>
      <w:bCs/>
      <w:sz w:val="32"/>
      <w:szCs w:val="32"/>
    </w:rPr>
  </w:style>
  <w:style w:type="character" w:customStyle="1" w:styleId="100">
    <w:name w:val="页码11"/>
    <w:qFormat/>
    <w:uiPriority w:val="0"/>
    <w:rPr>
      <w:rFonts w:hint="default" w:ascii="Times New Roman" w:hAnsi="Times New Roman" w:cs="Times New Roman"/>
    </w:rPr>
  </w:style>
  <w:style w:type="character" w:customStyle="1" w:styleId="101">
    <w:name w:val="明显参考2"/>
    <w:qFormat/>
    <w:uiPriority w:val="0"/>
    <w:rPr>
      <w:b/>
      <w:smallCaps/>
      <w:color w:val="C0504D"/>
      <w:spacing w:val="5"/>
      <w:u w:val="single"/>
    </w:rPr>
  </w:style>
  <w:style w:type="character" w:customStyle="1" w:styleId="102">
    <w:name w:val="明显强调2"/>
    <w:qFormat/>
    <w:uiPriority w:val="0"/>
    <w:rPr>
      <w:b/>
      <w:i/>
      <w:color w:val="4F81BD"/>
    </w:rPr>
  </w:style>
  <w:style w:type="character" w:customStyle="1" w:styleId="103">
    <w:name w:val="摘要 Char"/>
    <w:qFormat/>
    <w:locked/>
    <w:uiPriority w:val="0"/>
    <w:rPr>
      <w:rFonts w:eastAsia="黑体"/>
      <w:sz w:val="32"/>
      <w:lang w:bidi="ar-SA"/>
    </w:rPr>
  </w:style>
  <w:style w:type="character" w:customStyle="1" w:styleId="104">
    <w:name w:val="目录标题 Char"/>
    <w:qFormat/>
    <w:locked/>
    <w:uiPriority w:val="0"/>
    <w:rPr>
      <w:rFonts w:ascii="黑体" w:hAnsi="Cambria" w:eastAsia="黑体"/>
      <w:kern w:val="44"/>
      <w:sz w:val="32"/>
      <w:lang w:bidi="ar-SA"/>
    </w:rPr>
  </w:style>
  <w:style w:type="character" w:customStyle="1" w:styleId="105">
    <w:name w:val="不明显强调2"/>
    <w:qFormat/>
    <w:uiPriority w:val="0"/>
    <w:rPr>
      <w:i/>
      <w:color w:val="808080"/>
    </w:rPr>
  </w:style>
  <w:style w:type="character" w:customStyle="1" w:styleId="106">
    <w:name w:val="纯文本 Char1"/>
    <w:basedOn w:val="24"/>
    <w:semiHidden/>
    <w:qFormat/>
    <w:uiPriority w:val="99"/>
    <w:rPr>
      <w:rFonts w:ascii="宋体" w:hAnsi="Courier New" w:cs="Courier New"/>
      <w:kern w:val="2"/>
      <w:sz w:val="21"/>
      <w:szCs w:val="21"/>
    </w:rPr>
  </w:style>
  <w:style w:type="character" w:customStyle="1" w:styleId="107">
    <w:name w:val="不明显参考2"/>
    <w:qFormat/>
    <w:uiPriority w:val="0"/>
    <w:rPr>
      <w:smallCaps/>
      <w:color w:val="C0504D"/>
      <w:u w:val="single"/>
    </w:rPr>
  </w:style>
  <w:style w:type="character" w:customStyle="1" w:styleId="108">
    <w:name w:val="日期 Char2"/>
    <w:basedOn w:val="24"/>
    <w:semiHidden/>
    <w:qFormat/>
    <w:uiPriority w:val="99"/>
    <w:rPr>
      <w:kern w:val="2"/>
      <w:sz w:val="21"/>
      <w:szCs w:val="24"/>
    </w:rPr>
  </w:style>
  <w:style w:type="character" w:customStyle="1" w:styleId="109">
    <w:name w:val="图表题注 Char"/>
    <w:qFormat/>
    <w:locked/>
    <w:uiPriority w:val="0"/>
    <w:rPr>
      <w:rFonts w:ascii="楷体_GB2312" w:eastAsia="楷体_GB2312"/>
      <w:sz w:val="21"/>
      <w:lang w:bidi="ar-SA"/>
    </w:rPr>
  </w:style>
  <w:style w:type="character" w:customStyle="1" w:styleId="110">
    <w:name w:val="No Spacing Char"/>
    <w:link w:val="111"/>
    <w:qFormat/>
    <w:locked/>
    <w:uiPriority w:val="0"/>
    <w:rPr>
      <w:sz w:val="24"/>
    </w:rPr>
  </w:style>
  <w:style w:type="paragraph" w:customStyle="1" w:styleId="111">
    <w:name w:val="无间隔2"/>
    <w:basedOn w:val="1"/>
    <w:link w:val="110"/>
    <w:qFormat/>
    <w:uiPriority w:val="0"/>
    <w:pPr>
      <w:adjustRightInd w:val="0"/>
      <w:snapToGrid w:val="0"/>
      <w:spacing w:line="355" w:lineRule="auto"/>
      <w:ind w:firstLine="640" w:firstLineChars="200"/>
    </w:pPr>
    <w:rPr>
      <w:kern w:val="0"/>
      <w:sz w:val="24"/>
      <w:szCs w:val="20"/>
    </w:rPr>
  </w:style>
  <w:style w:type="character" w:customStyle="1" w:styleId="112">
    <w:name w:val="书籍标题2"/>
    <w:qFormat/>
    <w:uiPriority w:val="0"/>
    <w:rPr>
      <w:b/>
      <w:smallCaps/>
      <w:spacing w:val="5"/>
    </w:rPr>
  </w:style>
  <w:style w:type="character" w:customStyle="1" w:styleId="113">
    <w:name w:val="浙师大论文 Char"/>
    <w:qFormat/>
    <w:locked/>
    <w:uiPriority w:val="0"/>
    <w:rPr>
      <w:rFonts w:ascii="Calibri" w:hAnsi="Calibri" w:eastAsia="宋体"/>
      <w:kern w:val="2"/>
      <w:sz w:val="21"/>
      <w:szCs w:val="22"/>
      <w:lang w:val="en-US" w:eastAsia="zh-CN" w:bidi="ar-SA"/>
    </w:rPr>
  </w:style>
  <w:style w:type="character" w:customStyle="1" w:styleId="114">
    <w:name w:val="Quote Char"/>
    <w:link w:val="115"/>
    <w:qFormat/>
    <w:locked/>
    <w:uiPriority w:val="0"/>
    <w:rPr>
      <w:i/>
      <w:color w:val="000000"/>
      <w:sz w:val="24"/>
    </w:rPr>
  </w:style>
  <w:style w:type="paragraph" w:customStyle="1" w:styleId="115">
    <w:name w:val="引用1"/>
    <w:basedOn w:val="1"/>
    <w:next w:val="1"/>
    <w:link w:val="114"/>
    <w:qFormat/>
    <w:uiPriority w:val="0"/>
    <w:pPr>
      <w:adjustRightInd w:val="0"/>
      <w:snapToGrid w:val="0"/>
      <w:spacing w:line="355" w:lineRule="auto"/>
      <w:ind w:firstLine="640" w:firstLineChars="200"/>
    </w:pPr>
    <w:rPr>
      <w:i/>
      <w:color w:val="000000"/>
      <w:kern w:val="0"/>
      <w:sz w:val="24"/>
      <w:szCs w:val="20"/>
    </w:rPr>
  </w:style>
  <w:style w:type="character" w:customStyle="1" w:styleId="116">
    <w:name w:val="关键词 Char"/>
    <w:qFormat/>
    <w:locked/>
    <w:uiPriority w:val="0"/>
    <w:rPr>
      <w:rFonts w:eastAsia="黑体"/>
      <w:sz w:val="28"/>
      <w:lang w:bidi="ar-SA"/>
    </w:rPr>
  </w:style>
  <w:style w:type="character" w:customStyle="1" w:styleId="117">
    <w:name w:val="参考文献 Char"/>
    <w:qFormat/>
    <w:locked/>
    <w:uiPriority w:val="0"/>
    <w:rPr>
      <w:rFonts w:ascii="宋体" w:hAnsi="宋体" w:eastAsia="黑体"/>
      <w:sz w:val="32"/>
      <w:lang w:bidi="ar-SA"/>
    </w:rPr>
  </w:style>
  <w:style w:type="character" w:customStyle="1" w:styleId="118">
    <w:name w:val="Intense Quote Char"/>
    <w:link w:val="119"/>
    <w:qFormat/>
    <w:locked/>
    <w:uiPriority w:val="0"/>
    <w:rPr>
      <w:b/>
      <w:i/>
      <w:color w:val="4F81BD"/>
      <w:sz w:val="24"/>
    </w:rPr>
  </w:style>
  <w:style w:type="paragraph" w:customStyle="1" w:styleId="119">
    <w:name w:val="明显引用2"/>
    <w:basedOn w:val="1"/>
    <w:next w:val="1"/>
    <w:link w:val="118"/>
    <w:qFormat/>
    <w:uiPriority w:val="0"/>
    <w:pPr>
      <w:pBdr>
        <w:bottom w:val="single" w:color="4F81BD" w:sz="4" w:space="4"/>
      </w:pBdr>
      <w:adjustRightInd w:val="0"/>
      <w:snapToGrid w:val="0"/>
      <w:spacing w:before="200" w:after="280" w:line="355" w:lineRule="auto"/>
      <w:ind w:left="936" w:right="936" w:firstLine="640" w:firstLineChars="200"/>
    </w:pPr>
    <w:rPr>
      <w:b/>
      <w:i/>
      <w:color w:val="4F81BD"/>
      <w:kern w:val="0"/>
      <w:sz w:val="24"/>
      <w:szCs w:val="20"/>
    </w:rPr>
  </w:style>
  <w:style w:type="paragraph" w:customStyle="1" w:styleId="120">
    <w:name w:val="TOC 标题2"/>
    <w:basedOn w:val="2"/>
    <w:next w:val="1"/>
    <w:qFormat/>
    <w:uiPriority w:val="0"/>
    <w:pPr>
      <w:spacing w:before="340" w:after="330" w:line="578" w:lineRule="auto"/>
      <w:outlineLvl w:val="9"/>
    </w:pPr>
    <w:rPr>
      <w:rFonts w:eastAsia="宋体"/>
      <w:b/>
      <w:sz w:val="44"/>
      <w:szCs w:val="44"/>
    </w:rPr>
  </w:style>
  <w:style w:type="paragraph" w:customStyle="1" w:styleId="121">
    <w:name w:val="列出段落2"/>
    <w:basedOn w:val="1"/>
    <w:qFormat/>
    <w:uiPriority w:val="0"/>
    <w:pPr>
      <w:ind w:firstLine="420" w:firstLineChars="200"/>
    </w:pPr>
  </w:style>
  <w:style w:type="paragraph" w:styleId="122">
    <w:name w:val="List Paragraph"/>
    <w:basedOn w:val="1"/>
    <w:qFormat/>
    <w:uiPriority w:val="99"/>
    <w:pPr>
      <w:ind w:firstLine="420" w:firstLineChars="200"/>
    </w:pPr>
    <w:rPr>
      <w:rFonts w:ascii="Calibri" w:hAnsi="Calibri"/>
    </w:rPr>
  </w:style>
  <w:style w:type="character" w:customStyle="1" w:styleId="123">
    <w:name w:val="font81"/>
    <w:qFormat/>
    <w:uiPriority w:val="0"/>
    <w:rPr>
      <w:rFonts w:hint="eastAsia" w:ascii="宋体" w:hAnsi="宋体" w:eastAsia="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2" Type="http://schemas.openxmlformats.org/officeDocument/2006/relationships/themeOverride" Target="../theme/themeOverride4.xml"/><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2" Type="http://schemas.openxmlformats.org/officeDocument/2006/relationships/themeOverride" Target="../theme/themeOverride3.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355" b="1" i="0" u="none" strike="noStrike" kern="1200" baseline="0">
                <a:solidFill>
                  <a:schemeClr val="tx1"/>
                </a:solidFill>
                <a:latin typeface="+mn-lt"/>
                <a:ea typeface="+mn-ea"/>
                <a:cs typeface="+mn-cs"/>
              </a:defRPr>
            </a:pPr>
            <a:r>
              <a:rPr lang="en-US" altLang="zh-CN" sz="920"/>
              <a:t>2019</a:t>
            </a:r>
            <a:r>
              <a:rPr lang="zh-CN" altLang="en-US" sz="920"/>
              <a:t>年一般公共预算收入主要科目完成及占比情况</a:t>
            </a:r>
            <a:endParaRPr lang="en-US" altLang="zh-CN" sz="2400"/>
          </a:p>
          <a:p>
            <a:pPr>
              <a:defRPr lang="zh-CN" sz="355" b="1" i="0" u="none" strike="noStrike" kern="1200" baseline="0">
                <a:solidFill>
                  <a:schemeClr val="tx1"/>
                </a:solidFill>
                <a:latin typeface="+mn-lt"/>
                <a:ea typeface="+mn-ea"/>
                <a:cs typeface="+mn-cs"/>
              </a:defRPr>
            </a:pPr>
            <a:r>
              <a:rPr lang="en-US" altLang="zh-CN" sz="920"/>
              <a:t>                                                            </a:t>
            </a:r>
            <a:r>
              <a:rPr lang="zh-CN" altLang="en-US" sz="920"/>
              <a:t>（单位：万元）</a:t>
            </a:r>
            <a:endParaRPr lang="zh-CN" altLang="en-US" sz="920"/>
          </a:p>
        </c:rich>
      </c:tx>
      <c:layout/>
      <c:overlay val="0"/>
    </c:title>
    <c:autoTitleDeleted val="0"/>
    <c:plotArea>
      <c:layout/>
      <c:pieChart>
        <c:varyColors val="1"/>
        <c:ser>
          <c:idx val="0"/>
          <c:order val="0"/>
          <c:tx>
            <c:strRef>
              <c:f>[Book1]Sheet1!$B$1</c:f>
              <c:strCache>
                <c:ptCount val="1"/>
                <c:pt idx="0">
                  <c:v>2019年一般公共预算收入主要科目完成及占比情况（单位：万元）</c:v>
                </c:pt>
              </c:strCache>
            </c:strRef>
          </c:tx>
          <c:explosion val="0"/>
          <c:dPt>
            <c:idx val="0"/>
            <c:bubble3D val="0"/>
          </c:dPt>
          <c:dPt>
            <c:idx val="1"/>
            <c:bubble3D val="0"/>
          </c:dPt>
          <c:dPt>
            <c:idx val="2"/>
            <c:bubble3D val="0"/>
          </c:dPt>
          <c:dPt>
            <c:idx val="3"/>
            <c:bubble3D val="0"/>
          </c:dPt>
          <c:dPt>
            <c:idx val="4"/>
            <c:bubble3D val="0"/>
          </c:dPt>
          <c:dPt>
            <c:idx val="5"/>
            <c:bubble3D val="0"/>
          </c:dPt>
          <c:dPt>
            <c:idx val="6"/>
            <c:bubble3D val="0"/>
          </c:dPt>
          <c:dLbls>
            <c:dLbl>
              <c:idx val="0"/>
              <c:layout/>
              <c:tx>
                <c:rich>
                  <a:bodyPr rot="0" spcFirstLastPara="0" vertOverflow="ellipsis" vert="horz" wrap="square" lIns="38100" tIns="19050" rIns="38100" bIns="19050" anchor="ctr" anchorCtr="1"/>
                  <a:lstStyle/>
                  <a:p>
                    <a:pPr>
                      <a:defRPr lang="zh-CN" sz="610" b="0" i="0" u="none" strike="noStrike" kern="1200" baseline="0">
                        <a:solidFill>
                          <a:schemeClr val="tx1"/>
                        </a:solidFill>
                        <a:latin typeface="+mn-lt"/>
                        <a:ea typeface="+mn-ea"/>
                        <a:cs typeface="+mn-cs"/>
                      </a:defRPr>
                    </a:pPr>
                    <a:r>
                      <a:rPr lang="zh-CN" altLang="en-US" sz="1000" baseline="0"/>
                      <a:t>增值税，</a:t>
                    </a:r>
                    <a:r>
                      <a:rPr lang="en-US" altLang="zh-CN" sz="1000" baseline="0"/>
                      <a:t>75783</a:t>
                    </a:r>
                    <a:r>
                      <a:rPr lang="zh-CN" altLang="en-US" sz="1000" baseline="0"/>
                      <a:t>，占比</a:t>
                    </a:r>
                    <a:r>
                      <a:rPr lang="en-US" altLang="zh-CN" sz="1000" baseline="0"/>
                      <a:t>37.1%
</a:t>
                    </a:r>
                    <a:endParaRPr lang="zh-CN" altLang="en-US"/>
                  </a:p>
                </c:rich>
              </c:tx>
              <c:numFmt formatCode="General" sourceLinked="1"/>
              <c:spPr>
                <a:noFill/>
                <a:ln>
                  <a:noFill/>
                </a:ln>
                <a:effectLst/>
              </c:spPr>
              <c:txPr>
                <a:bodyPr rot="0" spcFirstLastPara="0" vertOverflow="ellipsis" vert="horz" wrap="square" lIns="38100" tIns="19050" rIns="38100" bIns="19050" anchor="ctr" anchorCtr="1"/>
                <a:lstStyle/>
                <a:p>
                  <a:pPr>
                    <a:defRPr lang="zh-CN" sz="610" b="0" i="0" u="none" strike="noStrike" kern="1200" baseline="0">
                      <a:solidFill>
                        <a:schemeClr val="tx1"/>
                      </a:solidFill>
                      <a:latin typeface="+mn-lt"/>
                      <a:ea typeface="+mn-ea"/>
                      <a:cs typeface="+mn-cs"/>
                    </a:defRPr>
                  </a:pPr>
                </a:p>
              </c:txPr>
              <c:dLblPos val="bestFit"/>
              <c:showLegendKey val="0"/>
              <c:showVal val="0"/>
              <c:showCatName val="1"/>
              <c:showSerName val="1"/>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610" b="0" i="0" u="none" strike="noStrike" kern="1200" baseline="0">
                        <a:solidFill>
                          <a:schemeClr val="tx1"/>
                        </a:solidFill>
                        <a:latin typeface="+mn-lt"/>
                        <a:ea typeface="+mn-ea"/>
                        <a:cs typeface="+mn-cs"/>
                      </a:defRPr>
                    </a:pPr>
                    <a:r>
                      <a:rPr lang="zh-CN" altLang="en-US" sz="1000" baseline="0"/>
                      <a:t>企业所得税，</a:t>
                    </a:r>
                    <a:r>
                      <a:rPr lang="en-US" altLang="zh-CN" sz="1000" baseline="0"/>
                      <a:t>31168</a:t>
                    </a:r>
                    <a:r>
                      <a:rPr lang="zh-CN" altLang="en-US" sz="1000" baseline="0"/>
                      <a:t>，占比</a:t>
                    </a:r>
                    <a:r>
                      <a:rPr lang="en-US" altLang="zh-CN" sz="1000" baseline="0"/>
                      <a:t>15.3%</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610" b="0" i="0" u="none" strike="noStrike" kern="1200" baseline="0">
                      <a:solidFill>
                        <a:schemeClr val="tx1"/>
                      </a:solidFill>
                      <a:latin typeface="+mn-lt"/>
                      <a:ea typeface="+mn-ea"/>
                      <a:cs typeface="+mn-cs"/>
                    </a:defRPr>
                  </a:pPr>
                </a:p>
              </c:txPr>
              <c:dLblPos val="bestFit"/>
              <c:showLegendKey val="0"/>
              <c:showVal val="0"/>
              <c:showCatName val="1"/>
              <c:showSerName val="1"/>
              <c:showPercent val="1"/>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610" b="0" i="0" u="none" strike="noStrike" kern="1200" baseline="0">
                        <a:solidFill>
                          <a:schemeClr val="tx1"/>
                        </a:solidFill>
                        <a:latin typeface="+mn-lt"/>
                        <a:ea typeface="+mn-ea"/>
                        <a:cs typeface="+mn-cs"/>
                      </a:defRPr>
                    </a:pPr>
                    <a:r>
                      <a:rPr lang="zh-CN" altLang="en-US" sz="1000" baseline="0"/>
                      <a:t>个人所得税，</a:t>
                    </a:r>
                    <a:r>
                      <a:rPr lang="en-US" altLang="zh-CN" sz="1000" baseline="0"/>
                      <a:t>6536</a:t>
                    </a:r>
                    <a:r>
                      <a:rPr lang="zh-CN" altLang="en-US" sz="1000" baseline="0"/>
                      <a:t>，占比</a:t>
                    </a:r>
                    <a:r>
                      <a:rPr lang="en-US" altLang="zh-CN" sz="1000" baseline="0"/>
                      <a:t>3.2%</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610" b="0" i="0" u="none" strike="noStrike" kern="1200" baseline="0">
                      <a:solidFill>
                        <a:schemeClr val="tx1"/>
                      </a:solidFill>
                      <a:latin typeface="+mn-lt"/>
                      <a:ea typeface="+mn-ea"/>
                      <a:cs typeface="+mn-cs"/>
                    </a:defRPr>
                  </a:pPr>
                </a:p>
              </c:txPr>
              <c:dLblPos val="bestFit"/>
              <c:showLegendKey val="0"/>
              <c:showVal val="0"/>
              <c:showCatName val="1"/>
              <c:showSerName val="1"/>
              <c:showPercent val="1"/>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a:defRPr lang="zh-CN" sz="610" b="0" i="0" u="none" strike="noStrike" kern="1200" baseline="0">
                        <a:solidFill>
                          <a:schemeClr val="tx1"/>
                        </a:solidFill>
                        <a:latin typeface="+mn-lt"/>
                        <a:ea typeface="+mn-ea"/>
                        <a:cs typeface="+mn-cs"/>
                      </a:defRPr>
                    </a:pPr>
                    <a:r>
                      <a:rPr lang="zh-CN" altLang="en-US" sz="1000" baseline="0"/>
                      <a:t>城市维护建设税，</a:t>
                    </a:r>
                    <a:r>
                      <a:rPr lang="en-US" altLang="zh-CN" sz="1000" baseline="0"/>
                      <a:t>14183</a:t>
                    </a:r>
                    <a:r>
                      <a:rPr lang="zh-CN" altLang="en-US" sz="1000" baseline="0"/>
                      <a:t>，占比</a:t>
                    </a:r>
                    <a:r>
                      <a:rPr lang="en-US" altLang="zh-CN" sz="1000" baseline="0"/>
                      <a:t>7.0%</a:t>
                    </a:r>
                    <a:endParaRPr lang="zh-CN" altLang="en-US"/>
                  </a:p>
                </c:rich>
              </c:tx>
              <c:numFmt formatCode="General" sourceLinked="1"/>
              <c:spPr>
                <a:noFill/>
                <a:ln>
                  <a:noFill/>
                </a:ln>
                <a:effectLst/>
              </c:spPr>
              <c:txPr>
                <a:bodyPr rot="0" spcFirstLastPara="0" vertOverflow="ellipsis" vert="horz" wrap="square" lIns="38100" tIns="19050" rIns="38100" bIns="19050" anchor="ctr" anchorCtr="1"/>
                <a:lstStyle/>
                <a:p>
                  <a:pPr>
                    <a:defRPr lang="zh-CN" sz="610" b="0" i="0" u="none" strike="noStrike" kern="1200" baseline="0">
                      <a:solidFill>
                        <a:schemeClr val="tx1"/>
                      </a:solidFill>
                      <a:latin typeface="+mn-lt"/>
                      <a:ea typeface="+mn-ea"/>
                      <a:cs typeface="+mn-cs"/>
                    </a:defRPr>
                  </a:pPr>
                </a:p>
              </c:txPr>
              <c:dLblPos val="bestFit"/>
              <c:showLegendKey val="0"/>
              <c:showVal val="0"/>
              <c:showCatName val="1"/>
              <c:showSerName val="1"/>
              <c:showPercent val="1"/>
              <c:showBubbleSize val="0"/>
              <c:extLst>
                <c:ext xmlns:c15="http://schemas.microsoft.com/office/drawing/2012/chart" uri="{CE6537A1-D6FC-4f65-9D91-7224C49458BB}"/>
              </c:extLst>
            </c:dLbl>
            <c:dLbl>
              <c:idx val="4"/>
              <c:layout/>
              <c:tx>
                <c:rich>
                  <a:bodyPr rot="0" spcFirstLastPara="0" vertOverflow="ellipsis" vert="horz" wrap="square" lIns="38100" tIns="19050" rIns="38100" bIns="19050" anchor="ctr" anchorCtr="1"/>
                  <a:lstStyle/>
                  <a:p>
                    <a:pPr>
                      <a:defRPr lang="zh-CN" sz="610" b="0" i="0" u="none" strike="noStrike" kern="1200" baseline="0">
                        <a:solidFill>
                          <a:schemeClr val="tx1"/>
                        </a:solidFill>
                        <a:latin typeface="+mn-lt"/>
                        <a:ea typeface="+mn-ea"/>
                        <a:cs typeface="+mn-cs"/>
                      </a:defRPr>
                    </a:pPr>
                    <a:r>
                      <a:rPr lang="zh-CN" altLang="en-US" sz="1000" baseline="0"/>
                      <a:t>耕地占用税，</a:t>
                    </a:r>
                    <a:r>
                      <a:rPr lang="en-US" altLang="zh-CN" sz="1000" baseline="0"/>
                      <a:t>8012</a:t>
                    </a:r>
                    <a:r>
                      <a:rPr lang="zh-CN" altLang="en-US" sz="1000" baseline="0"/>
                      <a:t>，占比</a:t>
                    </a:r>
                    <a:r>
                      <a:rPr lang="en-US" altLang="zh-CN" sz="1000" baseline="0"/>
                      <a:t>3.9%
</a:t>
                    </a:r>
                    <a:endParaRPr lang="zh-CN" altLang="en-US"/>
                  </a:p>
                </c:rich>
              </c:tx>
              <c:numFmt formatCode="General" sourceLinked="1"/>
              <c:spPr>
                <a:noFill/>
                <a:ln>
                  <a:noFill/>
                </a:ln>
                <a:effectLst/>
              </c:spPr>
              <c:txPr>
                <a:bodyPr rot="0" spcFirstLastPara="0" vertOverflow="ellipsis" vert="horz" wrap="square" lIns="38100" tIns="19050" rIns="38100" bIns="19050" anchor="ctr" anchorCtr="1"/>
                <a:lstStyle/>
                <a:p>
                  <a:pPr>
                    <a:defRPr lang="zh-CN" sz="610" b="0" i="0" u="none" strike="noStrike" kern="1200" baseline="0">
                      <a:solidFill>
                        <a:schemeClr val="tx1"/>
                      </a:solidFill>
                      <a:latin typeface="+mn-lt"/>
                      <a:ea typeface="+mn-ea"/>
                      <a:cs typeface="+mn-cs"/>
                    </a:defRPr>
                  </a:pPr>
                </a:p>
              </c:txPr>
              <c:dLblPos val="bestFit"/>
              <c:showLegendKey val="0"/>
              <c:showVal val="0"/>
              <c:showCatName val="1"/>
              <c:showSerName val="1"/>
              <c:showPercent val="1"/>
              <c:showBubbleSize val="0"/>
              <c:extLst>
                <c:ext xmlns:c15="http://schemas.microsoft.com/office/drawing/2012/chart" uri="{CE6537A1-D6FC-4f65-9D91-7224C49458BB}"/>
              </c:extLst>
            </c:dLbl>
            <c:dLbl>
              <c:idx val="5"/>
              <c:layout/>
              <c:tx>
                <c:rich>
                  <a:bodyPr rot="0" spcFirstLastPara="0" vertOverflow="ellipsis" vert="horz" wrap="square" lIns="38100" tIns="19050" rIns="38100" bIns="19050" anchor="ctr" anchorCtr="1"/>
                  <a:lstStyle/>
                  <a:p>
                    <a:pPr>
                      <a:defRPr lang="zh-CN" sz="610" b="0" i="0" u="none" strike="noStrike" kern="1200" baseline="0">
                        <a:solidFill>
                          <a:schemeClr val="tx1"/>
                        </a:solidFill>
                        <a:latin typeface="+mn-lt"/>
                        <a:ea typeface="+mn-ea"/>
                        <a:cs typeface="+mn-cs"/>
                      </a:defRPr>
                    </a:pPr>
                    <a:r>
                      <a:rPr lang="zh-CN" altLang="en-US" sz="1000" baseline="0"/>
                      <a:t>其他各税，</a:t>
                    </a:r>
                    <a:r>
                      <a:rPr lang="en-US" altLang="zh-CN" sz="1000" baseline="0"/>
                      <a:t>35893</a:t>
                    </a:r>
                    <a:r>
                      <a:rPr lang="zh-CN" altLang="en-US" sz="1000" baseline="0"/>
                      <a:t>，占比</a:t>
                    </a:r>
                    <a:r>
                      <a:rPr lang="en-US" altLang="zh-CN" sz="1000" baseline="0"/>
                      <a:t>17.6%
</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610" b="0" i="0" u="none" strike="noStrike" kern="1200" baseline="0">
                      <a:solidFill>
                        <a:schemeClr val="tx1"/>
                      </a:solidFill>
                      <a:latin typeface="+mn-lt"/>
                      <a:ea typeface="+mn-ea"/>
                      <a:cs typeface="+mn-cs"/>
                    </a:defRPr>
                  </a:pPr>
                </a:p>
              </c:txPr>
              <c:dLblPos val="bestFit"/>
              <c:showLegendKey val="0"/>
              <c:showVal val="0"/>
              <c:showCatName val="1"/>
              <c:showSerName val="1"/>
              <c:showPercent val="1"/>
              <c:showBubbleSize val="0"/>
              <c:extLst>
                <c:ext xmlns:c15="http://schemas.microsoft.com/office/drawing/2012/chart" uri="{CE6537A1-D6FC-4f65-9D91-7224C49458BB}"/>
              </c:extLst>
            </c:dLbl>
            <c:dLbl>
              <c:idx val="6"/>
              <c:layout/>
              <c:tx>
                <c:rich>
                  <a:bodyPr rot="0" spcFirstLastPara="0" vertOverflow="ellipsis" vert="horz" wrap="square" lIns="38100" tIns="19050" rIns="38100" bIns="19050" anchor="ctr" anchorCtr="1"/>
                  <a:lstStyle/>
                  <a:p>
                    <a:pPr>
                      <a:defRPr lang="zh-CN" sz="610" b="0" i="0" u="none" strike="noStrike" kern="1200" baseline="0">
                        <a:solidFill>
                          <a:schemeClr val="tx1"/>
                        </a:solidFill>
                        <a:latin typeface="+mn-lt"/>
                        <a:ea typeface="+mn-ea"/>
                        <a:cs typeface="+mn-cs"/>
                      </a:defRPr>
                    </a:pPr>
                    <a:r>
                      <a:rPr lang="zh-CN" altLang="en-US" sz="1000" baseline="0"/>
                      <a:t>非税收入，</a:t>
                    </a:r>
                    <a:r>
                      <a:rPr lang="en-US" altLang="zh-CN" sz="1000" baseline="0"/>
                      <a:t>32460</a:t>
                    </a:r>
                    <a:r>
                      <a:rPr lang="zh-CN" altLang="en-US" sz="1000" baseline="0"/>
                      <a:t>，占比</a:t>
                    </a:r>
                    <a:r>
                      <a:rPr lang="en-US" altLang="zh-CN" sz="1000" baseline="0"/>
                      <a:t>15.9%
</a:t>
                    </a:r>
                    <a:endParaRPr lang="zh-CN" altLang="en-US"/>
                  </a:p>
                </c:rich>
              </c:tx>
              <c:numFmt formatCode="General" sourceLinked="1"/>
              <c:spPr>
                <a:noFill/>
                <a:ln>
                  <a:noFill/>
                </a:ln>
                <a:effectLst/>
              </c:spPr>
              <c:txPr>
                <a:bodyPr rot="0" spcFirstLastPara="0" vertOverflow="ellipsis" vert="horz" wrap="square" lIns="38100" tIns="19050" rIns="38100" bIns="19050" anchor="ctr" anchorCtr="1"/>
                <a:lstStyle/>
                <a:p>
                  <a:pPr>
                    <a:defRPr lang="zh-CN" sz="610" b="0" i="0" u="none" strike="noStrike" kern="1200" baseline="0">
                      <a:solidFill>
                        <a:schemeClr val="tx1"/>
                      </a:solidFill>
                      <a:latin typeface="+mn-lt"/>
                      <a:ea typeface="+mn-ea"/>
                      <a:cs typeface="+mn-cs"/>
                    </a:defRPr>
                  </a:pPr>
                </a:p>
              </c:txPr>
              <c:dLblPos val="bestFit"/>
              <c:showLegendKey val="0"/>
              <c:showVal val="0"/>
              <c:showCatName val="1"/>
              <c:showSerName val="1"/>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[Book1]Sheet1!$A$2:$A$8</c:f>
              <c:strCache>
                <c:ptCount val="7"/>
                <c:pt idx="0">
                  <c:v>增值税，75783，占比37.1%</c:v>
                </c:pt>
                <c:pt idx="1">
                  <c:v>企业所得税，31168，占比15.3%</c:v>
                </c:pt>
                <c:pt idx="2">
                  <c:v>个人所得税，6536，占比3.2%</c:v>
                </c:pt>
                <c:pt idx="3">
                  <c:v>城市维护建设税，14183，占比7.0%</c:v>
                </c:pt>
                <c:pt idx="4">
                  <c:v>耕地占用税，8012，占比3.9%</c:v>
                </c:pt>
                <c:pt idx="5">
                  <c:v>其他各税，35893，占比17.6%</c:v>
                </c:pt>
                <c:pt idx="6">
                  <c:v>非税收入，32460，占比15.9</c:v>
                </c:pt>
              </c:strCache>
            </c:strRef>
          </c:cat>
          <c:val>
            <c:numRef>
              <c:f>[Book1]Sheet1!$B$2:$B$8</c:f>
              <c:numCache>
                <c:formatCode>g/"通""用""格""式"</c:formatCode>
                <c:ptCount val="7"/>
                <c:pt idx="0">
                  <c:v>75783</c:v>
                </c:pt>
                <c:pt idx="1">
                  <c:v>31168</c:v>
                </c:pt>
                <c:pt idx="2">
                  <c:v>6536</c:v>
                </c:pt>
                <c:pt idx="3">
                  <c:v>14183</c:v>
                </c:pt>
                <c:pt idx="4">
                  <c:v>8012</c:v>
                </c:pt>
                <c:pt idx="5">
                  <c:v>35893</c:v>
                </c:pt>
                <c:pt idx="6">
                  <c:v>32460</c:v>
                </c:pt>
              </c:numCache>
            </c:numRef>
          </c:val>
        </c:ser>
        <c:ser>
          <c:idx val="1"/>
          <c:order val="1"/>
          <c:tx>
            <c:strRef>
              <c:f>[Book1]Sheet1!$C$1</c:f>
              <c:strCache>
                <c:ptCount val="1"/>
                <c:pt idx="0">
                  <c:v/>
                </c:pt>
              </c:strCache>
            </c:strRef>
          </c:tx>
          <c:explosion val="0"/>
          <c:dPt>
            <c:idx val="0"/>
            <c:bubble3D val="0"/>
          </c:dPt>
          <c:dPt>
            <c:idx val="1"/>
            <c:bubble3D val="0"/>
          </c:dPt>
          <c:dPt>
            <c:idx val="2"/>
            <c:bubble3D val="0"/>
          </c:dPt>
          <c:dPt>
            <c:idx val="3"/>
            <c:bubble3D val="0"/>
          </c:dPt>
          <c:dPt>
            <c:idx val="4"/>
            <c:bubble3D val="0"/>
          </c:dPt>
          <c:dPt>
            <c:idx val="5"/>
            <c:bubble3D val="0"/>
          </c:dPt>
          <c:dPt>
            <c:idx val="6"/>
            <c:bubble3D val="0"/>
          </c:dPt>
          <c:dLbls>
            <c:spPr>
              <a:noFill/>
              <a:ln>
                <a:noFill/>
              </a:ln>
              <a:effectLst/>
            </c:spPr>
            <c:txPr>
              <a:bodyPr rot="0" spcFirstLastPara="0" vertOverflow="ellipsis" vert="horz" wrap="square" lIns="38100" tIns="19050" rIns="38100" bIns="19050" anchor="ctr" anchorCtr="1"/>
              <a:lstStyle/>
              <a:p>
                <a:pPr>
                  <a:defRPr lang="zh-CN" sz="61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[Book1]Sheet1!$A$2:$A$8</c:f>
              <c:strCache>
                <c:ptCount val="7"/>
                <c:pt idx="0">
                  <c:v>增值税，75783，占比37.1%</c:v>
                </c:pt>
                <c:pt idx="1">
                  <c:v>企业所得税，31168，占比15.3%</c:v>
                </c:pt>
                <c:pt idx="2">
                  <c:v>个人所得税，6536，占比3.2%</c:v>
                </c:pt>
                <c:pt idx="3">
                  <c:v>城市维护建设税，14183，占比7.0%</c:v>
                </c:pt>
                <c:pt idx="4">
                  <c:v>耕地占用税，8012，占比3.9%</c:v>
                </c:pt>
                <c:pt idx="5">
                  <c:v>其他各税，35893，占比17.6%</c:v>
                </c:pt>
                <c:pt idx="6">
                  <c:v>非税收入，32460，占比15.9</c:v>
                </c:pt>
              </c:strCache>
            </c:strRef>
          </c:cat>
          <c:val>
            <c:numRef>
              <c:f>[Book1]Sheet1!$C$2:$C$8</c:f>
              <c:numCache>
                <c:formatCode>General</c:formatCode>
                <c:ptCount val="7"/>
              </c:numCache>
            </c:numRef>
          </c:val>
        </c:ser>
        <c:ser>
          <c:idx val="2"/>
          <c:order val="2"/>
          <c:tx>
            <c:strRef>
              <c:f>[Book1]Sheet1!$D$1</c:f>
              <c:strCache>
                <c:ptCount val="1"/>
                <c:pt idx="0">
                  <c:v/>
                </c:pt>
              </c:strCache>
            </c:strRef>
          </c:tx>
          <c:explosion val="0"/>
          <c:dPt>
            <c:idx val="0"/>
            <c:bubble3D val="0"/>
          </c:dPt>
          <c:dPt>
            <c:idx val="1"/>
            <c:bubble3D val="0"/>
          </c:dPt>
          <c:dPt>
            <c:idx val="2"/>
            <c:bubble3D val="0"/>
          </c:dPt>
          <c:dPt>
            <c:idx val="3"/>
            <c:bubble3D val="0"/>
          </c:dPt>
          <c:dPt>
            <c:idx val="4"/>
            <c:bubble3D val="0"/>
          </c:dPt>
          <c:dPt>
            <c:idx val="5"/>
            <c:bubble3D val="0"/>
          </c:dPt>
          <c:dPt>
            <c:idx val="6"/>
            <c:bubble3D val="0"/>
          </c:dPt>
          <c:dLbls>
            <c:spPr>
              <a:noFill/>
              <a:ln>
                <a:noFill/>
              </a:ln>
              <a:effectLst/>
            </c:spPr>
            <c:txPr>
              <a:bodyPr rot="0" spcFirstLastPara="0" vertOverflow="ellipsis" vert="horz" wrap="square" lIns="38100" tIns="19050" rIns="38100" bIns="19050" anchor="ctr" anchorCtr="1"/>
              <a:lstStyle/>
              <a:p>
                <a:pPr>
                  <a:defRPr lang="zh-CN" sz="61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[Book1]Sheet1!$A$2:$A$8</c:f>
              <c:strCache>
                <c:ptCount val="7"/>
                <c:pt idx="0">
                  <c:v>增值税，75783，占比37.1%</c:v>
                </c:pt>
                <c:pt idx="1">
                  <c:v>企业所得税，31168，占比15.3%</c:v>
                </c:pt>
                <c:pt idx="2">
                  <c:v>个人所得税，6536，占比3.2%</c:v>
                </c:pt>
                <c:pt idx="3">
                  <c:v>城市维护建设税，14183，占比7.0%</c:v>
                </c:pt>
                <c:pt idx="4">
                  <c:v>耕地占用税，8012，占比3.9%</c:v>
                </c:pt>
                <c:pt idx="5">
                  <c:v>其他各税，35893，占比17.6%</c:v>
                </c:pt>
                <c:pt idx="6">
                  <c:v>非税收入，32460，占比15.9</c:v>
                </c:pt>
              </c:strCache>
            </c:strRef>
          </c:cat>
          <c:val>
            <c:numRef>
              <c:f>[Book1]Sheet1!$D$2:$D$8</c:f>
              <c:numCache>
                <c:formatCode>General</c:formatCode>
                <c:ptCount val="7"/>
              </c:numCache>
            </c:numRef>
          </c:val>
        </c:ser>
        <c:dLbls>
          <c:showLegendKey val="0"/>
          <c:showVal val="0"/>
          <c:showCatName val="1"/>
          <c:showSerName val="0"/>
          <c:showPercent val="1"/>
          <c:showBubbleSize val="0"/>
          <c:showLeaderLines val="1"/>
        </c:dLbls>
        <c:firstSliceAng val="0"/>
      </c:pieChart>
      <c:spPr>
        <a:noFill/>
        <a:ln w="25369">
          <a:noFill/>
        </a:ln>
      </c:spPr>
    </c:plotArea>
    <c:plotVisOnly val="1"/>
    <c:dispBlanksAs val="zero"/>
    <c:showDLblsOverMax val="0"/>
  </c:chart>
  <c:txPr>
    <a:bodyPr/>
    <a:lstStyle/>
    <a:p>
      <a:pPr>
        <a:defRPr lang="zh-CN" sz="610"/>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400" b="1" i="0" u="none" strike="noStrike" kern="1200" baseline="0">
                <a:solidFill>
                  <a:schemeClr val="tx1"/>
                </a:solidFill>
                <a:latin typeface="+mn-lt"/>
                <a:ea typeface="+mn-ea"/>
                <a:cs typeface="+mn-cs"/>
              </a:defRPr>
            </a:pPr>
            <a:r>
              <a:rPr lang="en-US" sz="1400" baseline="0"/>
              <a:t>2019</a:t>
            </a:r>
            <a:r>
              <a:rPr lang="zh-CN" sz="1400" baseline="0"/>
              <a:t>年一般公共预算主要科目支出完成情况</a:t>
            </a:r>
            <a:endParaRPr lang="en-US" sz="1400" baseline="0"/>
          </a:p>
          <a:p>
            <a:pPr>
              <a:defRPr lang="zh-CN" sz="1400" b="1" i="0" u="none" strike="noStrike" kern="1200" baseline="0">
                <a:solidFill>
                  <a:schemeClr val="tx1"/>
                </a:solidFill>
                <a:latin typeface="+mn-lt"/>
                <a:ea typeface="+mn-ea"/>
                <a:cs typeface="+mn-cs"/>
              </a:defRPr>
            </a:pPr>
            <a:r>
              <a:rPr lang="en-US" sz="1400" baseline="0"/>
              <a:t>                                                          </a:t>
            </a:r>
            <a:r>
              <a:rPr lang="zh-CN" sz="1000" baseline="0"/>
              <a:t>（单位：万元）</a:t>
            </a:r>
            <a:endParaRPr lang="zh-CN" sz="1000" baseline="0"/>
          </a:p>
        </c:rich>
      </c:tx>
      <c:layout/>
      <c:overlay val="0"/>
    </c:title>
    <c:autoTitleDeleted val="0"/>
    <c:plotArea>
      <c:layout/>
      <c:barChart>
        <c:barDir val="col"/>
        <c:grouping val="clustered"/>
        <c:varyColors val="0"/>
        <c:ser>
          <c:idx val="0"/>
          <c:order val="0"/>
          <c:tx>
            <c:strRef>
              <c:f>Sheet1!$B$1</c:f>
              <c:strCache>
                <c:ptCount val="1"/>
                <c:pt idx="0">
                  <c:v>2019年支出</c:v>
                </c:pt>
              </c:strCache>
            </c:strRef>
          </c:tx>
          <c:invertIfNegative val="0"/>
          <c:dLbls>
            <c:delete val="1"/>
          </c:dLbls>
          <c:cat>
            <c:strRef>
              <c:f>Sheet1!$A$2:$A$6</c:f>
              <c:strCache>
                <c:ptCount val="5"/>
                <c:pt idx="0">
                  <c:v>教育支出</c:v>
                </c:pt>
                <c:pt idx="1">
                  <c:v>科学技术支出</c:v>
                </c:pt>
                <c:pt idx="2">
                  <c:v>社会保障和就业支出</c:v>
                </c:pt>
                <c:pt idx="3">
                  <c:v>卫生健康支出</c:v>
                </c:pt>
                <c:pt idx="4">
                  <c:v>农林水支出</c:v>
                </c:pt>
              </c:strCache>
            </c:strRef>
          </c:cat>
          <c:val>
            <c:numRef>
              <c:f>Sheet1!$B$2:$B$6</c:f>
              <c:numCache>
                <c:formatCode>General</c:formatCode>
                <c:ptCount val="5"/>
                <c:pt idx="0">
                  <c:v>30499</c:v>
                </c:pt>
                <c:pt idx="1">
                  <c:v>23910</c:v>
                </c:pt>
                <c:pt idx="2">
                  <c:v>9558</c:v>
                </c:pt>
                <c:pt idx="3">
                  <c:v>11589</c:v>
                </c:pt>
                <c:pt idx="4">
                  <c:v>9659</c:v>
                </c:pt>
              </c:numCache>
            </c:numRef>
          </c:val>
        </c:ser>
        <c:ser>
          <c:idx val="2"/>
          <c:order val="2"/>
          <c:tx>
            <c:strRef>
              <c:f>Sheet1!$C$1</c:f>
              <c:strCache>
                <c:ptCount val="1"/>
                <c:pt idx="0">
                  <c:v>完成调整预算%</c:v>
                </c:pt>
              </c:strCache>
            </c:strRef>
          </c:tx>
          <c:invertIfNegative val="0"/>
          <c:dLbls>
            <c:delete val="1"/>
          </c:dLbls>
          <c:cat>
            <c:strRef>
              <c:f>Sheet1!$A$2:$A$6</c:f>
              <c:strCache>
                <c:ptCount val="5"/>
                <c:pt idx="0">
                  <c:v>教育支出</c:v>
                </c:pt>
                <c:pt idx="1">
                  <c:v>科学技术支出</c:v>
                </c:pt>
                <c:pt idx="2">
                  <c:v>社会保障和就业支出</c:v>
                </c:pt>
                <c:pt idx="3">
                  <c:v>卫生健康支出</c:v>
                </c:pt>
                <c:pt idx="4">
                  <c:v>农林水支出</c:v>
                </c:pt>
              </c:strCache>
            </c:strRef>
          </c:cat>
          <c:val>
            <c:numRef>
              <c:f>Sheet1!$C$2:$C$6</c:f>
              <c:numCache>
                <c:formatCode>General</c:formatCode>
                <c:ptCount val="5"/>
                <c:pt idx="0">
                  <c:v>100</c:v>
                </c:pt>
                <c:pt idx="1">
                  <c:v>98.5</c:v>
                </c:pt>
                <c:pt idx="2">
                  <c:v>99.4</c:v>
                </c:pt>
                <c:pt idx="3">
                  <c:v>95.2</c:v>
                </c:pt>
                <c:pt idx="4">
                  <c:v>98.8</c:v>
                </c:pt>
              </c:numCache>
            </c:numRef>
          </c:val>
        </c:ser>
        <c:dLbls>
          <c:showLegendKey val="0"/>
          <c:showVal val="0"/>
          <c:showCatName val="0"/>
          <c:showSerName val="0"/>
          <c:showPercent val="0"/>
          <c:showBubbleSize val="0"/>
        </c:dLbls>
        <c:gapWidth val="150"/>
        <c:axId val="90306816"/>
        <c:axId val="90329088"/>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
                      </c:pt>
                    </c:strCache>
                  </c:strRef>
                </c:tx>
                <c:invertIfNegative val="0"/>
                <c:dLbls>
                  <c:delete val="1"/>
                </c:dLbls>
                <c:cat>
                  <c:strRef>
                    <c:extLst>
                      <c:ext uri="{02D57815-91ED-43cb-92C2-25804820EDAC}">
                        <c15:fullRef>
                          <c15:sqref/>
                        </c15:fullRef>
                        <c15:formulaRef>
                          <c15:sqref>Sheet1!$A$2:$A$6</c15:sqref>
                        </c15:formulaRef>
                      </c:ext>
                    </c:extLst>
                    <c:strCache>
                      <c:ptCount val="5"/>
                      <c:pt idx="0">
                        <c:v>教育支出</c:v>
                      </c:pt>
                      <c:pt idx="1">
                        <c:v>科学技术支出</c:v>
                      </c:pt>
                      <c:pt idx="2">
                        <c:v>社会保障和就业支出</c:v>
                      </c:pt>
                      <c:pt idx="3">
                        <c:v>卫生健康支出</c:v>
                      </c:pt>
                      <c:pt idx="4">
                        <c:v>农林水支出</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90306816"/>
        <c:scaling>
          <c:orientation val="minMax"/>
        </c:scaling>
        <c:delete val="1"/>
        <c:axPos val="b"/>
        <c:numFmt formatCode="g/&quot;通&quot;&quot;用&quot;&quot;格&quot;&quot;式&quot;"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0329088"/>
        <c:crosses val="autoZero"/>
        <c:auto val="1"/>
        <c:lblAlgn val="ctr"/>
        <c:lblOffset val="100"/>
        <c:noMultiLvlLbl val="0"/>
      </c:catAx>
      <c:valAx>
        <c:axId val="90329088"/>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0306816"/>
        <c:crosses val="autoZero"/>
        <c:crossBetween val="between"/>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dTable>
    </c:plotArea>
    <c:plotVisOnly val="1"/>
    <c:dispBlanksAs val="gap"/>
    <c:showDLblsOverMax val="0"/>
  </c:chart>
  <c:txPr>
    <a:bodyPr/>
    <a:lstStyle/>
    <a:p>
      <a:pPr>
        <a:defRPr lang="zh-CN" baseline="0"/>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lgn="r">
              <a:defRPr lang="zh-CN" sz="365" b="1" i="0" u="none" strike="noStrike" kern="1200" baseline="0">
                <a:solidFill>
                  <a:schemeClr val="tx1"/>
                </a:solidFill>
                <a:latin typeface="+mn-lt"/>
                <a:ea typeface="+mn-ea"/>
                <a:cs typeface="+mn-cs"/>
              </a:defRPr>
            </a:pPr>
            <a:r>
              <a:rPr lang="en-US" altLang="zh-CN" sz="935"/>
              <a:t>2020</a:t>
            </a:r>
            <a:r>
              <a:rPr lang="zh-CN" altLang="en-US" sz="935"/>
              <a:t>年一般公共预算收入主要科目安排及占比情况</a:t>
            </a:r>
            <a:endParaRPr lang="en-US" altLang="zh-CN" sz="2400"/>
          </a:p>
          <a:p>
            <a:pPr algn="r">
              <a:defRPr lang="zh-CN" sz="365" b="1" i="0" u="none" strike="noStrike" kern="1200" baseline="0">
                <a:solidFill>
                  <a:schemeClr val="tx1"/>
                </a:solidFill>
                <a:latin typeface="+mn-lt"/>
                <a:ea typeface="+mn-ea"/>
                <a:cs typeface="+mn-cs"/>
              </a:defRPr>
            </a:pPr>
            <a:r>
              <a:rPr lang="en-US" altLang="zh-CN" sz="935"/>
              <a:t>    </a:t>
            </a:r>
            <a:r>
              <a:rPr lang="zh-CN" altLang="en-US" sz="935"/>
              <a:t>（单位：万元）</a:t>
            </a:r>
            <a:endParaRPr lang="zh-CN" altLang="en-US" sz="935"/>
          </a:p>
        </c:rich>
      </c:tx>
      <c:layout/>
      <c:overlay val="0"/>
    </c:title>
    <c:autoTitleDeleted val="0"/>
    <c:plotArea>
      <c:layout/>
      <c:pieChart>
        <c:varyColors val="1"/>
        <c:ser>
          <c:idx val="0"/>
          <c:order val="0"/>
          <c:tx>
            <c:strRef>
              <c:f>Sheet1!$B$1</c:f>
              <c:strCache>
                <c:ptCount val="1"/>
                <c:pt idx="0">
                  <c:v>2020年一般公共预算收入主要科目安排及占比情况（单位：万元）</c:v>
                </c:pt>
              </c:strCache>
            </c:strRef>
          </c:tx>
          <c:explosion val="0"/>
          <c:dPt>
            <c:idx val="0"/>
            <c:bubble3D val="0"/>
          </c:dPt>
          <c:dPt>
            <c:idx val="1"/>
            <c:bubble3D val="0"/>
          </c:dPt>
          <c:dPt>
            <c:idx val="2"/>
            <c:bubble3D val="0"/>
          </c:dPt>
          <c:dPt>
            <c:idx val="3"/>
            <c:bubble3D val="0"/>
          </c:dPt>
          <c:dPt>
            <c:idx val="4"/>
            <c:bubble3D val="0"/>
          </c:dPt>
          <c:dPt>
            <c:idx val="5"/>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sz="1000" baseline="0"/>
                      <a:t>增值税，</a:t>
                    </a:r>
                    <a:r>
                      <a:rPr lang="en-US" altLang="zh-CN" sz="1000" baseline="0"/>
                      <a:t>90800</a:t>
                    </a:r>
                    <a:r>
                      <a:rPr lang="zh-CN" altLang="en-US" sz="1000" baseline="0"/>
                      <a:t>，占比</a:t>
                    </a:r>
                    <a:r>
                      <a:rPr lang="en-US" altLang="zh-CN" sz="1000" baseline="0"/>
                      <a:t>39.6%</a:t>
                    </a:r>
                    <a:endParaRPr lang="zh-CN" altLang="en-US" sz="1400"/>
                  </a:p>
                </c:rich>
              </c:tx>
              <c:dLblPos val="bestFit"/>
              <c:showLegendKey val="0"/>
              <c:showVal val="0"/>
              <c:showCatName val="1"/>
              <c:showSerName val="1"/>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sz="1000" baseline="0"/>
                      <a:t>企业所得税，</a:t>
                    </a:r>
                    <a:r>
                      <a:rPr lang="en-US" altLang="zh-CN" sz="1000" baseline="0"/>
                      <a:t>34300</a:t>
                    </a:r>
                    <a:r>
                      <a:rPr lang="zh-CN" altLang="en-US" sz="1000" baseline="0"/>
                      <a:t>，占比</a:t>
                    </a:r>
                    <a:r>
                      <a:rPr lang="en-US" altLang="zh-CN" sz="1000" baseline="0"/>
                      <a:t>14.6%</a:t>
                    </a:r>
                    <a:endParaRPr lang="zh-CN" altLang="en-US" sz="1400"/>
                  </a:p>
                </c:rich>
              </c:tx>
              <c:dLblPos val="bestFit"/>
              <c:showLegendKey val="0"/>
              <c:showVal val="0"/>
              <c:showCatName val="1"/>
              <c:showSerName val="1"/>
              <c:showPercent val="1"/>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sz="1000" baseline="0"/>
                      <a:t>个人所得税，</a:t>
                    </a:r>
                    <a:r>
                      <a:rPr lang="en-US" altLang="zh-CN" sz="1000" baseline="0"/>
                      <a:t>3500</a:t>
                    </a:r>
                    <a:r>
                      <a:rPr lang="zh-CN" altLang="en-US" sz="1000" baseline="0"/>
                      <a:t>，占比</a:t>
                    </a:r>
                    <a:r>
                      <a:rPr lang="en-US" altLang="zh-CN" sz="1000" baseline="0"/>
                      <a:t>1.5%</a:t>
                    </a:r>
                    <a:endParaRPr lang="zh-CN" altLang="en-US" sz="1400"/>
                  </a:p>
                </c:rich>
              </c:tx>
              <c:dLblPos val="bestFit"/>
              <c:showLegendKey val="0"/>
              <c:showVal val="0"/>
              <c:showCatName val="1"/>
              <c:showSerName val="1"/>
              <c:showPercent val="1"/>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sz="1000" baseline="0"/>
                      <a:t>城市维护建设税，</a:t>
                    </a:r>
                    <a:r>
                      <a:rPr lang="en-US" altLang="zh-CN" sz="1000" baseline="0"/>
                      <a:t>17000</a:t>
                    </a:r>
                    <a:r>
                      <a:rPr lang="zh-CN" altLang="en-US" sz="1000" baseline="0"/>
                      <a:t>，占比</a:t>
                    </a:r>
                    <a:r>
                      <a:rPr lang="en-US" altLang="zh-CN" sz="1000" baseline="0"/>
                      <a:t>7.2%</a:t>
                    </a:r>
                    <a:endParaRPr lang="zh-CN" altLang="en-US" sz="1400"/>
                  </a:p>
                </c:rich>
              </c:tx>
              <c:dLblPos val="bestFit"/>
              <c:showLegendKey val="0"/>
              <c:showVal val="0"/>
              <c:showCatName val="1"/>
              <c:showSerName val="1"/>
              <c:showPercent val="1"/>
              <c:showBubbleSize val="0"/>
              <c:extLst>
                <c:ext xmlns:c15="http://schemas.microsoft.com/office/drawing/2012/chart" uri="{CE6537A1-D6FC-4f65-9D91-7224C49458BB}"/>
              </c:extLst>
            </c:dLbl>
            <c:dLbl>
              <c:idx val="4"/>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sz="1000" baseline="0"/>
                      <a:t>其他各税，</a:t>
                    </a:r>
                    <a:r>
                      <a:rPr lang="en-US" altLang="zh-CN" sz="1000" baseline="0"/>
                      <a:t>46500</a:t>
                    </a:r>
                    <a:r>
                      <a:rPr lang="zh-CN" altLang="en-US" sz="1000" baseline="0"/>
                      <a:t>，占比</a:t>
                    </a:r>
                    <a:r>
                      <a:rPr lang="en-US" altLang="zh-CN" sz="1000" baseline="0"/>
                      <a:t>19.8%</a:t>
                    </a:r>
                    <a:endParaRPr lang="en-US" altLang="zh-CN" sz="545"/>
                  </a:p>
                </c:rich>
              </c:tx>
              <c:dLblPos val="bestFit"/>
              <c:showLegendKey val="0"/>
              <c:showVal val="0"/>
              <c:showCatName val="1"/>
              <c:showSerName val="1"/>
              <c:showPercent val="1"/>
              <c:showBubbleSize val="0"/>
              <c:extLst>
                <c:ext xmlns:c15="http://schemas.microsoft.com/office/drawing/2012/chart" uri="{CE6537A1-D6FC-4f65-9D91-7224C49458BB}"/>
              </c:extLst>
            </c:dLbl>
            <c:dLbl>
              <c:idx val="5"/>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sz="1000" baseline="0"/>
                      <a:t>非税收入，</a:t>
                    </a:r>
                    <a:r>
                      <a:rPr lang="en-US" altLang="zh-CN" sz="1000" baseline="0"/>
                      <a:t>42500</a:t>
                    </a:r>
                    <a:r>
                      <a:rPr lang="zh-CN" altLang="en-US" sz="1000" baseline="0"/>
                      <a:t>，占比</a:t>
                    </a:r>
                    <a:r>
                      <a:rPr lang="en-US" altLang="zh-CN" sz="1000" baseline="0"/>
                      <a:t>18.1%</a:t>
                    </a:r>
                    <a:endParaRPr lang="zh-CN" altLang="en-US" sz="1400"/>
                  </a:p>
                </c:rich>
              </c:tx>
              <c:dLblPos val="bestFit"/>
              <c:showLegendKey val="0"/>
              <c:showVal val="0"/>
              <c:showCatName val="1"/>
              <c:showSerName val="1"/>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Sheet1!$A$2:$A$7</c:f>
              <c:strCache>
                <c:ptCount val="6"/>
                <c:pt idx="0">
                  <c:v>增值税，90800，占比38.8%</c:v>
                </c:pt>
                <c:pt idx="1">
                  <c:v>企业所得税，34300，占比14.6%</c:v>
                </c:pt>
                <c:pt idx="2">
                  <c:v>个人所得税，3500，占比1.5%</c:v>
                </c:pt>
                <c:pt idx="3">
                  <c:v>城市维护建设税，17000，占比7.2%</c:v>
                </c:pt>
                <c:pt idx="4">
                  <c:v>其他各税，46500，占比19.8%</c:v>
                </c:pt>
                <c:pt idx="5">
                  <c:v>非税收入，42500，占比18.1%</c:v>
                </c:pt>
              </c:strCache>
            </c:strRef>
          </c:cat>
          <c:val>
            <c:numRef>
              <c:f>Sheet1!$B$2:$B$7</c:f>
              <c:numCache>
                <c:formatCode>g/"通""用""格""式"</c:formatCode>
                <c:ptCount val="6"/>
                <c:pt idx="0">
                  <c:v>90800</c:v>
                </c:pt>
                <c:pt idx="1">
                  <c:v>34300</c:v>
                </c:pt>
                <c:pt idx="2">
                  <c:v>3500</c:v>
                </c:pt>
                <c:pt idx="3">
                  <c:v>17000</c:v>
                </c:pt>
                <c:pt idx="4">
                  <c:v>46500</c:v>
                </c:pt>
                <c:pt idx="5">
                  <c:v>42500</c:v>
                </c:pt>
              </c:numCache>
            </c:numRef>
          </c:val>
        </c:ser>
        <c:ser>
          <c:idx val="1"/>
          <c:order val="1"/>
          <c:tx>
            <c:strRef>
              <c:f>Sheet1!$C$1</c:f>
              <c:strCache>
                <c:ptCount val="1"/>
                <c:pt idx="0">
                  <c:v/>
                </c:pt>
              </c:strCache>
            </c:strRef>
          </c:tx>
          <c:explosion val="0"/>
          <c:dPt>
            <c:idx val="0"/>
            <c:bubble3D val="0"/>
          </c:dPt>
          <c:dPt>
            <c:idx val="1"/>
            <c:bubble3D val="0"/>
          </c:dPt>
          <c:dPt>
            <c:idx val="2"/>
            <c:bubble3D val="0"/>
          </c:dPt>
          <c:dPt>
            <c:idx val="3"/>
            <c:bubble3D val="0"/>
          </c:dPt>
          <c:dPt>
            <c:idx val="4"/>
            <c:bubble3D val="0"/>
          </c:dPt>
          <c:dPt>
            <c:idx val="5"/>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Sheet1!$A$2:$A$7</c:f>
              <c:strCache>
                <c:ptCount val="6"/>
                <c:pt idx="0">
                  <c:v>增值税，90800，占比38.8%</c:v>
                </c:pt>
                <c:pt idx="1">
                  <c:v>企业所得税，34300，占比14.6%</c:v>
                </c:pt>
                <c:pt idx="2">
                  <c:v>个人所得税，3500，占比1.5%</c:v>
                </c:pt>
                <c:pt idx="3">
                  <c:v>城市维护建设税，17000，占比7.2%</c:v>
                </c:pt>
                <c:pt idx="4">
                  <c:v>其他各税，46500，占比19.8%</c:v>
                </c:pt>
                <c:pt idx="5">
                  <c:v>非税收入，42500，占比18.1%</c:v>
                </c:pt>
              </c:strCache>
            </c:strRef>
          </c:cat>
          <c:val>
            <c:numRef>
              <c:f>Sheet1!$C$2:$C$7</c:f>
              <c:numCache>
                <c:formatCode>General</c:formatCode>
                <c:ptCount val="6"/>
              </c:numCache>
            </c:numRef>
          </c:val>
        </c:ser>
        <c:ser>
          <c:idx val="2"/>
          <c:order val="2"/>
          <c:tx>
            <c:strRef>
              <c:f>Sheet1!$D$1</c:f>
              <c:strCache>
                <c:ptCount val="1"/>
                <c:pt idx="0">
                  <c:v/>
                </c:pt>
              </c:strCache>
            </c:strRef>
          </c:tx>
          <c:explosion val="0"/>
          <c:dPt>
            <c:idx val="0"/>
            <c:bubble3D val="0"/>
          </c:dPt>
          <c:dPt>
            <c:idx val="1"/>
            <c:bubble3D val="0"/>
          </c:dPt>
          <c:dPt>
            <c:idx val="2"/>
            <c:bubble3D val="0"/>
          </c:dPt>
          <c:dPt>
            <c:idx val="3"/>
            <c:bubble3D val="0"/>
          </c:dPt>
          <c:dPt>
            <c:idx val="4"/>
            <c:bubble3D val="0"/>
          </c:dPt>
          <c:dPt>
            <c:idx val="5"/>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Sheet1!$A$2:$A$7</c:f>
              <c:strCache>
                <c:ptCount val="6"/>
                <c:pt idx="0">
                  <c:v>增值税，90800，占比38.8%</c:v>
                </c:pt>
                <c:pt idx="1">
                  <c:v>企业所得税，34300，占比14.6%</c:v>
                </c:pt>
                <c:pt idx="2">
                  <c:v>个人所得税，3500，占比1.5%</c:v>
                </c:pt>
                <c:pt idx="3">
                  <c:v>城市维护建设税，17000，占比7.2%</c:v>
                </c:pt>
                <c:pt idx="4">
                  <c:v>其他各税，46500，占比19.8%</c:v>
                </c:pt>
                <c:pt idx="5">
                  <c:v>非税收入，42500，占比18.1%</c:v>
                </c:pt>
              </c:strCache>
            </c:strRef>
          </c:cat>
          <c:val>
            <c:numRef>
              <c:f>Sheet1!$D$2:$D$7</c:f>
              <c:numCache>
                <c:formatCode>General</c:formatCode>
                <c:ptCount val="6"/>
              </c:numCache>
            </c:numRef>
          </c:val>
        </c:ser>
        <c:dLbls>
          <c:showLegendKey val="0"/>
          <c:showVal val="0"/>
          <c:showCatName val="1"/>
          <c:showSerName val="0"/>
          <c:showPercent val="1"/>
          <c:showBubbleSize val="0"/>
          <c:showLeaderLines val="1"/>
        </c:dLbls>
        <c:firstSliceAng val="0"/>
      </c:pieChart>
      <c:spPr>
        <a:noFill/>
        <a:ln w="25388">
          <a:noFill/>
        </a:ln>
      </c:spPr>
    </c:plotArea>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lgn="r">
              <a:defRPr lang="zh-CN" sz="960" b="1" i="0" u="none" strike="noStrike" kern="1200" baseline="0">
                <a:solidFill>
                  <a:schemeClr val="tx1"/>
                </a:solidFill>
                <a:latin typeface="+mn-lt"/>
                <a:ea typeface="+mn-ea"/>
                <a:cs typeface="+mn-cs"/>
              </a:defRPr>
            </a:pPr>
            <a:r>
              <a:rPr lang="en-US"/>
              <a:t>2020</a:t>
            </a:r>
            <a:r>
              <a:rPr lang="zh-CN"/>
              <a:t>年一般公共预算支出主要科目预算安排情况</a:t>
            </a:r>
            <a:endParaRPr lang="en-US"/>
          </a:p>
          <a:p>
            <a:pPr algn="r">
              <a:defRPr lang="zh-CN" sz="960" b="1" i="0" u="none" strike="noStrike" kern="1200" baseline="0">
                <a:solidFill>
                  <a:schemeClr val="tx1"/>
                </a:solidFill>
                <a:latin typeface="+mn-lt"/>
                <a:ea typeface="+mn-ea"/>
                <a:cs typeface="+mn-cs"/>
              </a:defRPr>
            </a:pPr>
            <a:r>
              <a:rPr lang="zh-CN"/>
              <a:t>（单位：万元）</a:t>
            </a:r>
            <a:endParaRPr lang="zh-CN"/>
          </a:p>
        </c:rich>
      </c:tx>
      <c:layout/>
      <c:overlay val="0"/>
      <c:spPr>
        <a:noFill/>
        <a:ln w="12993">
          <a:noFill/>
        </a:ln>
      </c:spPr>
    </c:title>
    <c:autoTitleDeleted val="0"/>
    <c:plotArea>
      <c:layout>
        <c:manualLayout>
          <c:layoutTarget val="inner"/>
          <c:xMode val="edge"/>
          <c:yMode val="edge"/>
          <c:x val="0.131644444444444"/>
          <c:y val="0.178666666666667"/>
          <c:w val="0.843911111111111"/>
          <c:h val="0.61854358974359"/>
        </c:manualLayout>
      </c:layout>
      <c:barChart>
        <c:barDir val="col"/>
        <c:grouping val="clustered"/>
        <c:varyColors val="0"/>
        <c:ser>
          <c:idx val="0"/>
          <c:order val="0"/>
          <c:tx>
            <c:strRef>
              <c:f>Sheet1!$B$1</c:f>
              <c:strCache>
                <c:ptCount val="1"/>
                <c:pt idx="0">
                  <c:v>预算安排</c:v>
                </c:pt>
              </c:strCache>
            </c:strRef>
          </c:tx>
          <c:invertIfNegative val="0"/>
          <c:dLbls>
            <c:delete val="1"/>
          </c:dLbls>
          <c:cat>
            <c:strRef>
              <c:f>Sheet1!$A$2:$A$6</c:f>
              <c:strCache>
                <c:ptCount val="5"/>
                <c:pt idx="0">
                  <c:v>教育支出</c:v>
                </c:pt>
                <c:pt idx="1">
                  <c:v>科学技术支出</c:v>
                </c:pt>
                <c:pt idx="2">
                  <c:v>社会保障和就业支出</c:v>
                </c:pt>
                <c:pt idx="3">
                  <c:v>卫生健康支出</c:v>
                </c:pt>
                <c:pt idx="4">
                  <c:v>农林水支出</c:v>
                </c:pt>
              </c:strCache>
            </c:strRef>
          </c:cat>
          <c:val>
            <c:numRef>
              <c:f>Sheet1!$B$2:$B$6</c:f>
              <c:numCache>
                <c:formatCode>General</c:formatCode>
                <c:ptCount val="5"/>
                <c:pt idx="0">
                  <c:v>33055</c:v>
                </c:pt>
                <c:pt idx="1">
                  <c:v>27568</c:v>
                </c:pt>
                <c:pt idx="2">
                  <c:v>10690</c:v>
                </c:pt>
                <c:pt idx="3">
                  <c:v>18605</c:v>
                </c:pt>
                <c:pt idx="4">
                  <c:v>6847</c:v>
                </c:pt>
              </c:numCache>
            </c:numRef>
          </c:val>
        </c:ser>
        <c:dLbls>
          <c:showLegendKey val="0"/>
          <c:showVal val="0"/>
          <c:showCatName val="0"/>
          <c:showSerName val="0"/>
          <c:showPercent val="0"/>
          <c:showBubbleSize val="0"/>
        </c:dLbls>
        <c:gapWidth val="150"/>
        <c:axId val="171623936"/>
        <c:axId val="171625472"/>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
                      </c:pt>
                    </c:strCache>
                  </c:strRef>
                </c:tx>
                <c:invertIfNegative val="0"/>
                <c:dLbls>
                  <c:delete val="1"/>
                </c:dLbls>
                <c:cat>
                  <c:strRef>
                    <c:extLst>
                      <c:ext uri="{02D57815-91ED-43cb-92C2-25804820EDAC}">
                        <c15:fullRef>
                          <c15:sqref/>
                        </c15:fullRef>
                        <c15:formulaRef>
                          <c15:sqref>Sheet1!$A$2:$A$6</c15:sqref>
                        </c15:formulaRef>
                      </c:ext>
                    </c:extLst>
                    <c:strCache>
                      <c:ptCount val="5"/>
                      <c:pt idx="0">
                        <c:v>教育支出</c:v>
                      </c:pt>
                      <c:pt idx="1">
                        <c:v>科学技术支出</c:v>
                      </c:pt>
                      <c:pt idx="2">
                        <c:v>社会保障和就业支出</c:v>
                      </c:pt>
                      <c:pt idx="3">
                        <c:v>卫生健康支出</c:v>
                      </c:pt>
                      <c:pt idx="4">
                        <c:v>农林水支出</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171623936"/>
        <c:scaling>
          <c:orientation val="minMax"/>
        </c:scaling>
        <c:delete val="0"/>
        <c:axPos val="b"/>
        <c:numFmt formatCode="g/&quot;通&quot;&quot;用&quot;&quot;格&quot;&quot;式&quot;" sourceLinked="1"/>
        <c:majorTickMark val="none"/>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p>
        </c:txPr>
        <c:crossAx val="171625472"/>
        <c:crosses val="autoZero"/>
        <c:auto val="1"/>
        <c:lblAlgn val="ctr"/>
        <c:lblOffset val="100"/>
        <c:noMultiLvlLbl val="0"/>
      </c:catAx>
      <c:valAx>
        <c:axId val="171625472"/>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p>
        </c:txPr>
        <c:crossAx val="171623936"/>
        <c:crosses val="autoZero"/>
        <c:crossBetween val="between"/>
      </c:valAx>
      <c:dTable>
        <c:showHorzBorder val="1"/>
        <c:showVertBorder val="1"/>
        <c:showOutline val="1"/>
        <c:showKeys val="1"/>
        <c:txPr>
          <a:bodyPr rot="0" spcFirstLastPara="0" vertOverflow="ellipsis" vert="horz" wrap="square" anchor="ctr" anchorCtr="1"/>
          <a:lstStyle/>
          <a:p>
            <a:pPr>
              <a:defRPr lang="zh-CN" sz="800" b="0" i="0" u="none" strike="noStrike" kern="1200" baseline="0">
                <a:solidFill>
                  <a:schemeClr val="tx1"/>
                </a:solidFill>
                <a:latin typeface="+mn-lt"/>
                <a:ea typeface="+mn-ea"/>
                <a:cs typeface="+mn-cs"/>
              </a:defRPr>
            </a:pPr>
          </a:p>
        </c:txPr>
      </c:dTable>
    </c:plotArea>
    <c:plotVisOnly val="1"/>
    <c:dispBlanksAs val="gap"/>
    <c:showDLblsOverMax val="0"/>
  </c:chart>
  <c:txPr>
    <a:bodyPr/>
    <a:lstStyle/>
    <a:p>
      <a:pPr>
        <a:defRPr lang="zh-CN" sz="800" baseline="0"/>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926E6B-C9A6-4FFC-BE16-673F0F09C76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3099</Words>
  <Characters>17666</Characters>
  <Lines>147</Lines>
  <Paragraphs>41</Paragraphs>
  <TotalTime>13</TotalTime>
  <ScaleCrop>false</ScaleCrop>
  <LinksUpToDate>false</LinksUpToDate>
  <CharactersWithSpaces>20724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2021-01-25T03:07:00Z</dcterms:created>
  <dc:creator>Root</dc:creator>
  <cp:lastModifiedBy>卯卯</cp:lastModifiedBy>
  <cp:lastPrinted>2020-01-13T11:56:00Z</cp:lastPrinted>
  <dcterms:modified xsi:type="dcterms:W3CDTF">2021-06-10T12:32:22Z</dcterms:modified>
  <dc:title>Root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20D5F0AB158646EB8CAFF32CBA4A96FA</vt:lpwstr>
  </property>
</Properties>
</file>