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exact"/>
        <w:rPr>
          <w:rFonts w:ascii="华文中宋" w:hAnsi="华文中宋" w:eastAsia="华文中宋"/>
          <w:b/>
          <w:color w:val="auto"/>
          <w:spacing w:val="-48"/>
          <w:sz w:val="51"/>
          <w:szCs w:val="5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1100" w:lineRule="exact"/>
        <w:ind w:left="0" w:leftChars="0" w:right="3360" w:rightChars="1600" w:firstLine="0" w:firstLineChars="0"/>
        <w:rPr>
          <w:rFonts w:hint="eastAsia" w:ascii="华文中宋" w:hAnsi="华文中宋" w:eastAsia="华文中宋"/>
          <w:b/>
          <w:color w:val="auto"/>
          <w:spacing w:val="-48"/>
          <w:sz w:val="51"/>
          <w:szCs w:val="51"/>
        </w:rPr>
      </w:pPr>
      <w:r>
        <w:rPr>
          <w:rFonts w:ascii="华文中宋" w:hAnsi="华文中宋" w:eastAsia="华文中宋"/>
          <w:b/>
          <w:spacing w:val="-48"/>
          <w:sz w:val="51"/>
          <w:szCs w:val="51"/>
        </w:rPr>
        <w:pict>
          <v:shape id="_x0000_s1026" o:spid="_x0000_s1026" o:spt="136" type="#_x0000_t136" style="position:absolute;left:0pt;margin-left:260.25pt;margin-top:27.6pt;height:53pt;width:187pt;z-index:-25164902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文教体工作局文件" style="font-family:华文中宋;font-size:38pt;v-text-align:center;"/>
          </v:shape>
        </w:pict>
      </w:r>
      <w:r>
        <w:rPr>
          <w:rFonts w:ascii="华文中宋" w:hAnsi="华文中宋" w:eastAsia="华文中宋"/>
          <w:b/>
          <w:color w:val="auto"/>
          <w:spacing w:val="-48"/>
          <w:sz w:val="51"/>
          <w:szCs w:val="5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238125</wp:posOffset>
                </wp:positionV>
                <wp:extent cx="2460625" cy="685800"/>
                <wp:effectExtent l="0" t="0" r="1587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0" w:leftChars="0" w:firstLine="0" w:firstLineChars="0"/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75pt;margin-top:18.75pt;height:54pt;width:193.75pt;z-index:-251657216;mso-width-relative:page;mso-height-relative:page;" fillcolor="#FFFFFF" filled="t" stroked="f" coordsize="21600,21600" o:gfxdata="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9ZYnV1gAAAAoBAAAPAAAAAAAAAAEAIAAAACIAAABkcnMvZG93bnJldi54bWxQ&#10;SwECFAAUAAAACACHTuJA3UWPnMABAABaAwAADgAAAAAAAAABACAAAAAlAQAAZHJzL2Uyb0RvYy54&#10;bWxQSwUGAAAAAAYABgBZAQAAV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left="0" w:leftChars="0" w:firstLine="0" w:firstLineChars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华文中宋" w:hAnsi="华文中宋" w:eastAsia="华文中宋"/>
          <w:b/>
          <w:color w:val="auto"/>
          <w:spacing w:val="-48"/>
          <w:sz w:val="51"/>
          <w:szCs w:val="51"/>
        </w:rPr>
        <w:pict>
          <v:shape id="_x0000_i1025" o:spt="136" type="#_x0000_t136" style="height:44.25pt;width:257.2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温州浙南沿海先进装备产业集聚区" style="font-family:华文中宋;font-size:36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1200" w:lineRule="exact"/>
        <w:ind w:left="0" w:leftChars="0" w:right="3360" w:rightChars="1600" w:firstLine="0" w:firstLineChars="0"/>
        <w:rPr>
          <w:rFonts w:hint="eastAsia" w:ascii="华文中宋" w:hAnsi="华文中宋" w:eastAsia="华文中宋"/>
          <w:color w:val="auto"/>
          <w:spacing w:val="-48"/>
          <w:sz w:val="51"/>
          <w:szCs w:val="51"/>
        </w:rPr>
      </w:pPr>
      <w:r>
        <w:rPr>
          <w:rFonts w:ascii="华文中宋" w:hAnsi="华文中宋" w:eastAsia="华文中宋"/>
          <w:b/>
          <w:color w:val="auto"/>
          <w:spacing w:val="-48"/>
          <w:sz w:val="51"/>
          <w:szCs w:val="51"/>
        </w:rPr>
        <w:pict>
          <v:shape id="_x0000_i1026" o:spt="136" type="#_x0000_t136" style="height:42.75pt;width:260.3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温州经济技术开发区" style="font-family:华文中宋;font-size:36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>温</w:t>
      </w:r>
      <w:r>
        <w:rPr>
          <w:rFonts w:hint="eastAsia" w:ascii="仿宋_GB2312" w:eastAsia="仿宋_GB2312"/>
          <w:color w:val="auto"/>
          <w:sz w:val="32"/>
          <w:lang w:eastAsia="zh-CN"/>
        </w:rPr>
        <w:t>浙集（</w:t>
      </w:r>
      <w:r>
        <w:rPr>
          <w:rFonts w:hint="eastAsia" w:ascii="仿宋_GB2312" w:eastAsia="仿宋_GB2312"/>
          <w:color w:val="auto"/>
          <w:sz w:val="32"/>
        </w:rPr>
        <w:t>开</w:t>
      </w:r>
      <w:r>
        <w:rPr>
          <w:rFonts w:hint="eastAsia" w:ascii="仿宋_GB2312" w:eastAsia="仿宋_GB2312"/>
          <w:color w:val="auto"/>
          <w:sz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</w:rPr>
        <w:t>教</w:t>
      </w:r>
      <w:r>
        <w:rPr>
          <w:rFonts w:hint="eastAsia" w:ascii="仿宋_GB2312" w:eastAsia="仿宋_GB2312"/>
          <w:color w:val="auto"/>
          <w:sz w:val="32"/>
          <w:lang w:eastAsia="zh-CN"/>
        </w:rPr>
        <w:t>办</w:t>
      </w:r>
      <w:r>
        <w:rPr>
          <w:rFonts w:hint="eastAsia" w:ascii="仿宋_GB2312" w:eastAsia="仿宋_GB2312"/>
          <w:color w:val="auto"/>
          <w:sz w:val="32"/>
        </w:rPr>
        <w:t>〔201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</w:rPr>
        <w:t>〕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14</w:t>
      </w:r>
      <w:r>
        <w:rPr>
          <w:rFonts w:hint="eastAsia" w:ascii="仿宋_GB2312" w:eastAsia="仿宋_GB2312"/>
          <w:color w:val="auto"/>
          <w:sz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20" w:lineRule="exact"/>
        <w:jc w:val="center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67375" cy="0"/>
                <wp:effectExtent l="0" t="9525" r="952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4pt;height:0pt;width:446.25pt;z-index:251660288;mso-width-relative:page;mso-height-relative:page;" filled="f" stroked="t" coordsize="21600,21600" o:gfxdata="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WdKdjUAAAABAEAAA8A&#10;AAAAAAAAAQAgAAAAIgAAAGRycy9kb3ducmV2LnhtbFBLAQIUABQAAAAIAIdO4kASFhIf4gEAAKUD&#10;AAAOAAAAAAAAAAEAIAAAACMBAABkcnMvZTJvRG9jLnhtbFBLBQYAAAAABgAGAFkBAAB3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auto"/>
          <w:sz w:val="32"/>
          <w:szCs w:val="32"/>
        </w:rPr>
        <w:tab/>
      </w:r>
      <w:r>
        <w:rPr>
          <w:rFonts w:hint="eastAsia" w:ascii="仿宋_GB2312" w:hAnsi="宋体" w:eastAsia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20" w:lineRule="exact"/>
        <w:jc w:val="center"/>
        <w:rPr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温州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  <w:t>浙南沿海先进装备产业集聚区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eastAsia="zh-CN"/>
        </w:rPr>
        <w:t>（温州经济技术开发区）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</w:rPr>
        <w:t>文教体工作局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创艺简标宋" w:eastAsia="方正小标宋简体" w:cs="创艺简标宋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eastAsia="zh-CN"/>
        </w:rPr>
        <w:t>印发《</w:t>
      </w:r>
      <w:r>
        <w:rPr>
          <w:rFonts w:hint="eastAsia" w:ascii="方正小标宋简体" w:hAnsi="创艺简标宋" w:eastAsia="方正小标宋简体" w:cs="创艺简标宋"/>
          <w:spacing w:val="-8"/>
          <w:sz w:val="44"/>
          <w:szCs w:val="44"/>
        </w:rPr>
        <w:t>201</w:t>
      </w:r>
      <w:r>
        <w:rPr>
          <w:rFonts w:hint="eastAsia" w:ascii="方正小标宋简体" w:hAnsi="创艺简标宋" w:eastAsia="方正小标宋简体" w:cs="创艺简标宋"/>
          <w:spacing w:val="-8"/>
          <w:sz w:val="44"/>
          <w:szCs w:val="44"/>
          <w:lang w:val="en-US" w:eastAsia="zh-CN"/>
        </w:rPr>
        <w:t>9</w:t>
      </w:r>
      <w:r>
        <w:rPr>
          <w:rFonts w:hint="eastAsia" w:ascii="方正小标宋简体" w:hAnsi="创艺简标宋" w:eastAsia="方正小标宋简体" w:cs="创艺简标宋"/>
          <w:spacing w:val="-8"/>
          <w:sz w:val="44"/>
          <w:szCs w:val="44"/>
        </w:rPr>
        <w:t>年度</w:t>
      </w:r>
      <w:r>
        <w:rPr>
          <w:rFonts w:hint="eastAsia" w:ascii="方正小标宋简体" w:hAnsi="创艺简标宋" w:eastAsia="方正小标宋简体" w:cs="创艺简标宋"/>
          <w:spacing w:val="-8"/>
          <w:sz w:val="44"/>
          <w:szCs w:val="44"/>
          <w:lang w:val="en-US" w:eastAsia="zh-CN"/>
        </w:rPr>
        <w:t>浙南产业集聚区</w:t>
      </w:r>
      <w:r>
        <w:rPr>
          <w:rFonts w:hint="eastAsia" w:ascii="方正小标宋简体" w:hAnsi="创艺简标宋" w:eastAsia="方正小标宋简体" w:cs="创艺简标宋"/>
          <w:spacing w:val="-8"/>
          <w:sz w:val="44"/>
          <w:szCs w:val="44"/>
        </w:rPr>
        <w:t>公办学校</w:t>
      </w:r>
      <w:r>
        <w:rPr>
          <w:rFonts w:hint="eastAsia" w:ascii="方正小标宋简体" w:hAnsi="创艺简标宋" w:eastAsia="方正小标宋简体" w:cs="创艺简标宋"/>
          <w:spacing w:val="-8"/>
          <w:sz w:val="44"/>
          <w:szCs w:val="44"/>
          <w:lang w:val="en-US" w:eastAsia="zh-CN"/>
        </w:rPr>
        <w:t>考绩</w:t>
      </w:r>
      <w:r>
        <w:rPr>
          <w:rFonts w:hint="eastAsia" w:ascii="方正小标宋简体" w:hAnsi="创艺简标宋" w:eastAsia="方正小标宋简体" w:cs="创艺简标宋"/>
          <w:spacing w:val="-8"/>
          <w:sz w:val="44"/>
          <w:szCs w:val="44"/>
        </w:rPr>
        <w:t>办法</w:t>
      </w:r>
      <w:r>
        <w:rPr>
          <w:rFonts w:hint="eastAsia" w:ascii="方正小标宋简体" w:hAnsi="创艺简标宋" w:eastAsia="方正小标宋简体" w:cs="创艺简标宋"/>
          <w:spacing w:val="-8"/>
          <w:sz w:val="44"/>
          <w:szCs w:val="44"/>
          <w:lang w:eastAsia="zh-CN"/>
        </w:rPr>
        <w:t>（试行）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  <w:t>各处室，各中小学校（幼儿园）：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  <w:t>经局长办公会议研究同意，现将《201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  <w:t>年度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/>
        </w:rPr>
        <w:t>浙南产业集聚区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  <w:t>公办学校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/>
        </w:rPr>
        <w:t>考绩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  <w:t>办法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</w:rPr>
        <w:t>》印发给你们，请认真执行。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right"/>
        <w:textAlignment w:val="auto"/>
        <w:rPr>
          <w:rFonts w:hint="eastAsia" w:ascii="仿宋_GB2312" w:hAnsi="宋体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right"/>
        <w:textAlignment w:val="auto"/>
        <w:rPr>
          <w:rFonts w:hint="default" w:ascii="仿宋_GB2312" w:hAnsi="宋体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</w:rPr>
        <w:t>温州浙南沿海先进装备产业集聚区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right"/>
        <w:textAlignment w:val="auto"/>
        <w:rPr>
          <w:rFonts w:hint="default" w:ascii="仿宋_GB2312" w:hAnsi="宋体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</w:rPr>
        <w:t>文教体工作局</w:t>
      </w:r>
      <w:r>
        <w:rPr>
          <w:rFonts w:hint="eastAsia" w:ascii="仿宋_GB2312" w:hAnsi="宋体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6"/>
        <w:jc w:val="right"/>
        <w:textAlignment w:val="auto"/>
        <w:rPr>
          <w:rFonts w:hint="default" w:ascii="黑体" w:hAnsi="黑体" w:eastAsia="仿宋_GB2312" w:cs="黑体"/>
          <w:b w:val="0"/>
          <w:i w:val="0"/>
          <w:caps w:val="0"/>
          <w:color w:val="20202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华文仿宋" w:eastAsia="仿宋_GB2312" w:cs="仿宋_GB2312"/>
          <w:color w:val="auto"/>
          <w:kern w:val="2"/>
          <w:sz w:val="32"/>
          <w:szCs w:val="32"/>
        </w:rPr>
        <w:t xml:space="preserve">   2019年</w:t>
      </w:r>
      <w:r>
        <w:rPr>
          <w:rFonts w:hint="eastAsia" w:ascii="仿宋_GB2312" w:hAnsi="华文仿宋" w:eastAsia="仿宋_GB2312" w:cs="仿宋_GB2312"/>
          <w:color w:val="auto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仿宋_GB2312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华文仿宋" w:eastAsia="仿宋_GB2312" w:cs="仿宋_GB2312"/>
          <w:color w:val="auto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仿宋_GB2312"/>
          <w:color w:val="auto"/>
          <w:kern w:val="2"/>
          <w:sz w:val="32"/>
          <w:szCs w:val="32"/>
        </w:rPr>
        <w:t>日</w:t>
      </w:r>
      <w:r>
        <w:rPr>
          <w:rFonts w:hint="eastAsia" w:ascii="仿宋_GB2312" w:hAnsi="华文仿宋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         </w:t>
      </w:r>
    </w:p>
    <w:p>
      <w:pPr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br w:type="page"/>
      </w:r>
      <w:r>
        <w:rPr>
          <w:rFonts w:hint="eastAsia" w:ascii="方正小标宋简体" w:hAnsi="创艺简标宋" w:eastAsia="方正小标宋简体" w:cs="创艺简标宋"/>
          <w:spacing w:val="-23"/>
          <w:sz w:val="44"/>
          <w:szCs w:val="44"/>
        </w:rPr>
        <w:t>201</w:t>
      </w:r>
      <w:r>
        <w:rPr>
          <w:rFonts w:hint="eastAsia" w:ascii="方正小标宋简体" w:hAnsi="创艺简标宋" w:eastAsia="方正小标宋简体" w:cs="创艺简标宋"/>
          <w:spacing w:val="-23"/>
          <w:sz w:val="44"/>
          <w:szCs w:val="44"/>
          <w:lang w:val="en-US" w:eastAsia="zh-CN"/>
        </w:rPr>
        <w:t>9</w:t>
      </w:r>
      <w:r>
        <w:rPr>
          <w:rFonts w:hint="eastAsia" w:ascii="方正小标宋简体" w:hAnsi="创艺简标宋" w:eastAsia="方正小标宋简体" w:cs="创艺简标宋"/>
          <w:spacing w:val="-23"/>
          <w:sz w:val="44"/>
          <w:szCs w:val="44"/>
        </w:rPr>
        <w:t>年度</w:t>
      </w:r>
      <w:r>
        <w:rPr>
          <w:rFonts w:hint="eastAsia" w:ascii="方正小标宋简体" w:hAnsi="创艺简标宋" w:eastAsia="方正小标宋简体" w:cs="创艺简标宋"/>
          <w:spacing w:val="-23"/>
          <w:sz w:val="44"/>
          <w:szCs w:val="44"/>
          <w:lang w:val="en-US" w:eastAsia="zh-CN"/>
        </w:rPr>
        <w:t>浙南产业集聚区</w:t>
      </w:r>
      <w:r>
        <w:rPr>
          <w:rFonts w:hint="eastAsia" w:ascii="方正小标宋简体" w:hAnsi="创艺简标宋" w:eastAsia="方正小标宋简体" w:cs="创艺简标宋"/>
          <w:spacing w:val="-23"/>
          <w:sz w:val="44"/>
          <w:szCs w:val="44"/>
        </w:rPr>
        <w:t>公办学校</w:t>
      </w:r>
      <w:r>
        <w:rPr>
          <w:rFonts w:hint="eastAsia" w:ascii="方正小标宋简体" w:hAnsi="创艺简标宋" w:eastAsia="方正小标宋简体" w:cs="创艺简标宋"/>
          <w:spacing w:val="-23"/>
          <w:sz w:val="44"/>
          <w:szCs w:val="44"/>
          <w:lang w:val="en-US" w:eastAsia="zh-CN"/>
        </w:rPr>
        <w:t>考绩</w:t>
      </w:r>
      <w:r>
        <w:rPr>
          <w:rFonts w:hint="eastAsia" w:ascii="方正小标宋简体" w:hAnsi="创艺简标宋" w:eastAsia="方正小标宋简体" w:cs="创艺简标宋"/>
          <w:spacing w:val="-23"/>
          <w:sz w:val="44"/>
          <w:szCs w:val="44"/>
        </w:rPr>
        <w:t>办法</w:t>
      </w:r>
      <w:r>
        <w:rPr>
          <w:rFonts w:hint="eastAsia" w:ascii="方正小标宋简体" w:hAnsi="创艺简标宋" w:eastAsia="方正小标宋简体" w:cs="创艺简标宋"/>
          <w:spacing w:val="-23"/>
          <w:sz w:val="44"/>
          <w:szCs w:val="44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为了充分发挥考绩工作的导向和激励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杠杆</w:t>
      </w:r>
      <w:r>
        <w:rPr>
          <w:rFonts w:hint="eastAsia" w:ascii="仿宋_GB2312" w:hAnsi="宋体" w:eastAsia="仿宋_GB2312" w:cs="仿宋_GB2312"/>
          <w:sz w:val="32"/>
          <w:szCs w:val="32"/>
        </w:rPr>
        <w:t>作用，全力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我区</w:t>
      </w:r>
      <w:r>
        <w:rPr>
          <w:rFonts w:hint="eastAsia" w:ascii="仿宋_GB2312" w:hAnsi="宋体" w:eastAsia="仿宋_GB2312" w:cs="仿宋_GB2312"/>
          <w:sz w:val="32"/>
          <w:szCs w:val="32"/>
        </w:rPr>
        <w:t>提升教育教学质量，办好人民满意的教育，特制定本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考绩</w:t>
      </w:r>
      <w:r>
        <w:rPr>
          <w:rFonts w:hint="eastAsia" w:ascii="仿宋_GB2312" w:hAnsi="宋体" w:eastAsia="仿宋_GB2312" w:cs="仿宋_GB2312"/>
          <w:sz w:val="32"/>
          <w:szCs w:val="32"/>
        </w:rPr>
        <w:t>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考核对象为全区各公办中小学、幼儿园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见附件1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二、考核内容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/>
        <w:textAlignment w:val="auto"/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（一）学校发展性评价考核。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基础分200分，占总评价分值的50%。基础性指标和发展性指标基础分各为100分。其中发展性指标继续委托温州大学基础教育评价中心（第三方评价机构）现场评估。具体指标体系见《2019年学校（幼儿园）自主发展性评价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（二）学校日常工作动态考核。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基础分100分，占总考绩分值的40%（见附件2，另行发文）。由党建工作、教师队伍建设、平安校园建设、教育基建、教学常规与学业质量等五个项目组成。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（三）综合评价与加减分。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基础分50分，占总考绩分值的10%。其中，综合评价30分，由局领导结合学校规模、办事效率、工作执行力、社会影响力、信访维稳等因素进行综合评价。加减分20分，局评价领导小组结合多校区管理、各类创建、办学成效等情况进行赋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学校年度考核实行定档评先。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幼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儿园、小学、中学分三组按1:2:1左右的比例评出“优秀单位A”“良好单位B”“合格单位C”。拟评为合格的单位，如其得分率达到85%（含）以上的，可进档为“良好单位B”。如其得分率低于65%（含）以下的，增加一档，评为“不合格单位D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存在党风廉政、平安校园、师德建设、初中毕业学业质量总T分达不到当年度全市平均水平，且总T分与近三年度比较没有增长的（小学学业质量总T分达不到当年度该学段全区公办学校 平均水平，且总T分与近三年度比较没有增长的）等“一票否决”情况的，取消单位“优秀单位”评选资格。评为“不合格单位”的在校长年度考核和职级评定中予以降档处理，并适时调整校长岗位。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学校年度考核被评为“优秀单位”的，在校长年度考核和职级评定中予以优先考虑。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各中小学校（幼儿园）要根据区《教育系统学校教职工绩效考核指导意见（另发）》，另行制订学校教职工绩效考核办法，报区文教体工作局人事部门审批后实施，并将考绩奖发放的结果报区文教体工作局人事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明确考绩责任。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区文教体工作局成立以局长为组长、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副局长为副组长、各处室负责人为成员的</w:t>
      </w:r>
      <w:r>
        <w:rPr>
          <w:rFonts w:ascii="仿宋_GB2312" w:hAnsi="仿宋_GB2312" w:eastAsia="仿宋_GB2312"/>
          <w:color w:val="auto"/>
          <w:sz w:val="32"/>
        </w:rPr>
        <w:t>领导小组，负责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考绩</w:t>
      </w:r>
      <w:r>
        <w:rPr>
          <w:rFonts w:ascii="仿宋_GB2312" w:hAnsi="仿宋_GB2312" w:eastAsia="仿宋_GB2312"/>
          <w:color w:val="auto"/>
          <w:sz w:val="32"/>
        </w:rPr>
        <w:t>组织领导和考评工作。</w:t>
      </w:r>
      <w:r>
        <w:rPr>
          <w:rFonts w:hint="eastAsia" w:ascii="仿宋_GB2312" w:eastAsia="仿宋_GB2312"/>
          <w:sz w:val="32"/>
          <w:szCs w:val="32"/>
        </w:rPr>
        <w:t>领导小组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下设办公室，办公室设在局综合处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）加强过程管理。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文教体工作</w:t>
      </w:r>
      <w:r>
        <w:rPr>
          <w:rFonts w:hint="eastAsia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各职能处室要</w:t>
      </w:r>
      <w:r>
        <w:rPr>
          <w:rFonts w:hint="eastAsia" w:ascii="仿宋_GB2312" w:eastAsia="仿宋_GB2312"/>
          <w:sz w:val="32"/>
          <w:szCs w:val="32"/>
        </w:rPr>
        <w:t>强化过程管理，严格考核程序和考核标准，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对学校发展性评价的基础性指标和日常</w:t>
      </w:r>
      <w:r>
        <w:rPr>
          <w:rFonts w:hint="eastAsia" w:ascii="仿宋_GB2312" w:eastAsia="仿宋_GB2312"/>
          <w:sz w:val="32"/>
          <w:szCs w:val="32"/>
        </w:rPr>
        <w:t>动态考核项目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进行跟踪、考核、汇总、上报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（三）应用计算方式。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是我区教育系统考绩办法试行阶段，全区设定在职在编教师人均1.33万元作为公办学校绩效考核总量，根据各校考绩得分，设定（A/B/C）三个等级，确定考核等级系数分别为（1.2/1/0.8）。按照应用计算公式，计算出各校考绩总量，下发到各校，由各校自行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1.某校考绩得分=（50%×某校发展性评价考核得分+40%×某校日常工作动态各项考核总得分+10%×综合评价与加减分总得分）。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2.某校考绩考量=总额×某校考绩总分×考核结果系数×该校在编教师数÷（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某校考绩总分×考绩系数×某校在编教师数积的和）。计算公式：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楷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188595</wp:posOffset>
            </wp:positionV>
            <wp:extent cx="4454525" cy="386715"/>
            <wp:effectExtent l="0" t="0" r="0" b="13335"/>
            <wp:wrapTight wrapText="bothSides">
              <wp:wrapPolygon>
                <wp:start x="0" y="0"/>
                <wp:lineTo x="0" y="20217"/>
                <wp:lineTo x="21523" y="20217"/>
                <wp:lineTo x="21523" y="0"/>
                <wp:lineTo x="0" y="0"/>
              </wp:wrapPolygon>
            </wp:wrapTight>
            <wp:docPr id="3" name="图片 3" descr="6a58f5d4471c9798e3108645dd310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a58f5d4471c9798e3108645dd310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楷体" w:eastAsia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 w:cs="Times New Roman" w:hAnsiTheme="minorEastAsia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（四）严肃考绩纪律。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各中小学校（幼儿园）</w:t>
      </w:r>
      <w:r>
        <w:rPr>
          <w:rFonts w:hint="eastAsia" w:ascii="仿宋_GB2312" w:eastAsia="仿宋_GB2312"/>
          <w:sz w:val="32"/>
          <w:szCs w:val="32"/>
        </w:rPr>
        <w:t>要坚持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多劳多得、优绩优酬的分配原则，强化内部管理，激活广大教职工的工作积极性，增强内部活力，促教育事业发展。区文教体工作局对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拒不执行或执行不到位的学校，全额扣发考绩总量。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 w:cs="新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新宋体"/>
          <w:sz w:val="32"/>
          <w:szCs w:val="32"/>
        </w:rPr>
        <w:t>附件: 1.</w:t>
      </w:r>
      <w:r>
        <w:rPr>
          <w:rFonts w:hint="eastAsia" w:ascii="仿宋_GB2312" w:eastAsia="仿宋_GB2312"/>
          <w:sz w:val="32"/>
          <w:szCs w:val="32"/>
        </w:rPr>
        <w:t>列入考绩的公办中小学（幼儿园）名单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学校日常动态考核项目和赋分办法</w:t>
      </w:r>
    </w:p>
    <w:p>
      <w:pPr>
        <w:spacing w:line="5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</w:p>
    <w:p>
      <w:pPr>
        <w:spacing w:line="420" w:lineRule="exact"/>
        <w:ind w:left="0" w:leftChars="0" w:firstLine="0" w:firstLineChars="0"/>
        <w:jc w:val="both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/>
          <w:color w:val="auto"/>
          <w:spacing w:val="-1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272415</wp:posOffset>
                </wp:positionV>
                <wp:extent cx="5704840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5pt;margin-top:21.45pt;height:0.05pt;width:449.2pt;z-index:251665408;mso-width-relative:page;mso-height-relative:page;" filled="f" stroked="t" coordsize="21600,21600" o:gfxdata="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VNO0z1wAAAAgBAAAP&#10;AAAAAAAAAAEAIAAAACIAAABkcnMvZG93bnJldi54bWxQSwECFAAUAAAACACHTuJAu2NSmeABAACm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Calibri" w:eastAsia="仿宋_GB2312"/>
          <w:color w:val="auto"/>
          <w:spacing w:val="-11"/>
          <w:sz w:val="28"/>
          <w:szCs w:val="32"/>
        </w:rPr>
        <w:t>温州浙南沿海先进装备产业集聚区</w:t>
      </w:r>
      <w:r>
        <w:rPr>
          <w:rFonts w:hint="eastAsia" w:ascii="仿宋_GB2312" w:hAnsi="Calibri" w:eastAsia="仿宋_GB2312"/>
          <w:color w:val="auto"/>
          <w:spacing w:val="-11"/>
          <w:sz w:val="28"/>
          <w:szCs w:val="32"/>
          <w:lang w:eastAsia="zh-CN"/>
        </w:rPr>
        <w:t>文</w:t>
      </w:r>
      <w:r>
        <w:rPr>
          <w:rFonts w:hint="eastAsia" w:ascii="仿宋_GB2312" w:hAnsi="Calibri" w:eastAsia="仿宋_GB2312"/>
          <w:color w:val="auto"/>
          <w:spacing w:val="-11"/>
          <w:sz w:val="28"/>
          <w:szCs w:val="32"/>
        </w:rPr>
        <w:t>教体工作局</w:t>
      </w:r>
      <w:r>
        <w:rPr>
          <w:rFonts w:ascii="仿宋_GB2312" w:hAnsi="Calibri" w:eastAsia="仿宋_GB2312"/>
          <w:color w:val="auto"/>
          <w:sz w:val="28"/>
          <w:szCs w:val="32"/>
        </w:rPr>
        <w:t xml:space="preserve">  </w:t>
      </w:r>
      <w:r>
        <w:rPr>
          <w:rFonts w:hint="eastAsia" w:ascii="仿宋_GB2312" w:hAnsi="Calibri" w:eastAsia="仿宋_GB2312"/>
          <w:color w:val="auto"/>
          <w:sz w:val="28"/>
          <w:szCs w:val="32"/>
          <w:lang w:val="en-US" w:eastAsia="zh-CN"/>
        </w:rPr>
        <w:t xml:space="preserve">  </w:t>
      </w:r>
      <w:r>
        <w:rPr>
          <w:rFonts w:ascii="仿宋_GB2312" w:hAnsi="Calibri" w:eastAsia="仿宋_GB2312"/>
          <w:color w:val="auto"/>
          <w:sz w:val="28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28"/>
          <w:szCs w:val="32"/>
          <w:lang w:val="en-US" w:eastAsia="zh-CN"/>
        </w:rPr>
        <w:t xml:space="preserve"> </w:t>
      </w:r>
      <w:r>
        <w:rPr>
          <w:rFonts w:ascii="仿宋_GB2312" w:hAnsi="Calibri" w:eastAsia="仿宋_GB2312"/>
          <w:color w:val="auto"/>
          <w:sz w:val="28"/>
          <w:szCs w:val="32"/>
        </w:rPr>
        <w:t>201</w:t>
      </w:r>
      <w:r>
        <w:rPr>
          <w:rFonts w:hint="eastAsia" w:ascii="仿宋_GB2312" w:hAnsi="Calibri" w:eastAsia="仿宋_GB2312"/>
          <w:color w:val="auto"/>
          <w:sz w:val="28"/>
          <w:szCs w:val="32"/>
          <w:lang w:val="en-US" w:eastAsia="zh-CN"/>
        </w:rPr>
        <w:t>9</w:t>
      </w:r>
      <w:r>
        <w:rPr>
          <w:rFonts w:hint="eastAsia" w:ascii="仿宋_GB2312" w:hAnsi="Calibri" w:eastAsia="仿宋_GB2312"/>
          <w:color w:val="auto"/>
          <w:sz w:val="28"/>
          <w:szCs w:val="32"/>
        </w:rPr>
        <w:t>年</w:t>
      </w:r>
      <w:r>
        <w:rPr>
          <w:rFonts w:hint="eastAsia" w:ascii="仿宋_GB2312" w:hAnsi="Calibri" w:eastAsia="仿宋_GB2312"/>
          <w:color w:val="auto"/>
          <w:sz w:val="28"/>
          <w:szCs w:val="32"/>
          <w:lang w:val="en-US" w:eastAsia="zh-CN"/>
        </w:rPr>
        <w:t>6</w:t>
      </w:r>
      <w:r>
        <w:rPr>
          <w:rFonts w:hint="eastAsia" w:ascii="仿宋_GB2312" w:hAnsi="Calibri" w:eastAsia="仿宋_GB2312"/>
          <w:color w:val="auto"/>
          <w:sz w:val="28"/>
          <w:szCs w:val="32"/>
        </w:rPr>
        <w:t>月</w:t>
      </w:r>
      <w:r>
        <w:rPr>
          <w:rFonts w:hint="eastAsia" w:ascii="仿宋_GB2312" w:eastAsia="仿宋_GB2312"/>
          <w:color w:val="auto"/>
          <w:sz w:val="28"/>
          <w:szCs w:val="32"/>
          <w:lang w:val="en-US" w:eastAsia="zh-CN"/>
        </w:rPr>
        <w:t>6</w:t>
      </w:r>
      <w:r>
        <w:rPr>
          <w:rFonts w:hint="eastAsia" w:ascii="仿宋_GB2312" w:hAnsi="Calibri" w:eastAsia="仿宋_GB2312"/>
          <w:color w:val="auto"/>
          <w:sz w:val="28"/>
          <w:szCs w:val="32"/>
        </w:rPr>
        <w:t>日印发</w:t>
      </w:r>
      <w:r>
        <w:rPr>
          <w:rFonts w:ascii="Calibri" w:hAnsi="Calibri"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10160</wp:posOffset>
                </wp:positionV>
                <wp:extent cx="5704840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5pt;margin-top:0.8pt;height:0.05pt;width:449.2pt;z-index:251666432;mso-width-relative:page;mso-height-relative:page;" filled="f" stroked="t" coordsize="21600,21600" o:gfxdata="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Lct3tQAAAAGAQAADwAA&#10;AAAAAAABACAAAAAiAAAAZHJzL2Rvd25yZXYueG1sUEsBAhQAFAAAAAgAh07iQJwCye3hAQAAqAMA&#10;AA4AAAAAAAAAAQAgAAAAI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列入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考绩</w:t>
      </w:r>
      <w:r>
        <w:rPr>
          <w:rFonts w:hint="eastAsia" w:ascii="方正小标宋简体" w:eastAsia="方正小标宋简体"/>
          <w:sz w:val="44"/>
          <w:szCs w:val="44"/>
        </w:rPr>
        <w:t>的中小学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校</w:t>
      </w:r>
      <w:r>
        <w:rPr>
          <w:rFonts w:hint="eastAsia" w:ascii="方正小标宋简体" w:eastAsia="方正小标宋简体"/>
          <w:sz w:val="44"/>
          <w:szCs w:val="44"/>
        </w:rPr>
        <w:t>（幼儿园）名单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tbl>
      <w:tblPr>
        <w:tblStyle w:val="5"/>
        <w:tblW w:w="94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7106"/>
        <w:gridCol w:w="1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 别</w:t>
            </w:r>
          </w:p>
        </w:tc>
        <w:tc>
          <w:tcPr>
            <w:tcW w:w="7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 位 名 单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</w:tc>
        <w:tc>
          <w:tcPr>
            <w:tcW w:w="7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 w:color="000000"/>
                <w:lang w:val="en-US" w:eastAsia="zh-CN" w:bidi="ar-SA"/>
              </w:rPr>
              <w:t>沙城中学、天河中学、海城中学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</w:tc>
        <w:tc>
          <w:tcPr>
            <w:tcW w:w="7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 w:color="000000"/>
                <w:lang w:val="en-US" w:eastAsia="zh-CN" w:bidi="ar-SA"/>
              </w:rPr>
              <w:t>温州滨海学校、沙城第一小学、沙城第二小学、沙城第三小学、天河第一小学、天河第二小学、海城第一小学、海城第二小学、金海第一小学（筹）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幼儿园</w:t>
            </w:r>
          </w:p>
        </w:tc>
        <w:tc>
          <w:tcPr>
            <w:tcW w:w="7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 w:color="000000"/>
                <w:lang w:val="en-US" w:eastAsia="zh-CN" w:bidi="ar-SA"/>
              </w:rPr>
              <w:t>滨海第一幼儿园、沙城第一幼儿园、天河中心幼儿园、区六幼（海城中心幼儿园）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1" w:leftChars="-252" w:hanging="528" w:hangingChars="12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学校日常工作动态考核项目和赋分办法</w:t>
      </w:r>
    </w:p>
    <w:p>
      <w:pPr>
        <w:spacing w:line="200" w:lineRule="exact"/>
        <w:ind w:left="-1" w:leftChars="-252" w:hanging="528" w:hangingChars="12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pPr w:leftFromText="180" w:rightFromText="180" w:vertAnchor="text" w:horzAnchor="page" w:tblpX="1157" w:tblpY="202"/>
        <w:tblOverlap w:val="never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33"/>
        <w:gridCol w:w="892"/>
        <w:gridCol w:w="1625"/>
        <w:gridCol w:w="4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序号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项   目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占比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考核牵头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处</w:t>
            </w:r>
            <w:r>
              <w:rPr>
                <w:rFonts w:hint="eastAsia" w:ascii="宋体" w:hAnsi="宋体" w:eastAsia="宋体" w:cs="宋体"/>
                <w:b/>
                <w:bCs/>
              </w:rPr>
              <w:t>室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赋  分  办  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建工作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%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政工</w:t>
            </w:r>
            <w:r>
              <w:rPr>
                <w:rFonts w:hint="eastAsia" w:ascii="宋体" w:hAnsi="宋体" w:cs="宋体"/>
                <w:lang w:val="en-US" w:eastAsia="zh-CN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（组织）处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按照</w:t>
            </w:r>
            <w:r>
              <w:rPr>
                <w:rFonts w:hint="eastAsia" w:ascii="宋体" w:hAnsi="宋体" w:eastAsia="宋体" w:cs="宋体"/>
              </w:rPr>
              <w:t>党建工作考核情况进行赋分。具体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见《2019年度党建工作考核评分细则》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lang w:val="en-US" w:eastAsia="zh-CN"/>
              </w:rPr>
              <w:t>2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教师队伍建设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lang w:val="en-US" w:eastAsia="zh-CN"/>
              </w:rPr>
              <w:t>%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政工</w:t>
            </w:r>
            <w:r>
              <w:rPr>
                <w:rFonts w:hint="eastAsia" w:ascii="宋体" w:hAnsi="宋体" w:cs="宋体"/>
                <w:lang w:val="en-US" w:eastAsia="zh-CN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（组织）处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按照教师队伍建设</w:t>
            </w:r>
            <w:r>
              <w:rPr>
                <w:rFonts w:hint="eastAsia" w:ascii="宋体" w:hAnsi="宋体" w:cs="宋体"/>
                <w:lang w:val="en-US" w:eastAsia="zh-CN"/>
              </w:rPr>
              <w:t>、师德师风等</w:t>
            </w:r>
            <w:r>
              <w:rPr>
                <w:rFonts w:hint="eastAsia" w:ascii="宋体" w:hAnsi="宋体" w:eastAsia="宋体" w:cs="宋体"/>
              </w:rPr>
              <w:t>情况进行赋分</w:t>
            </w:r>
            <w:r>
              <w:rPr>
                <w:rFonts w:hint="eastAsia" w:ascii="宋体" w:hAnsi="宋体" w:cs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平安校园建设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15%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安全与监察处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按照</w:t>
            </w:r>
            <w:r>
              <w:rPr>
                <w:rFonts w:hint="eastAsia" w:ascii="宋体" w:hAnsi="宋体" w:eastAsia="宋体" w:cs="宋体"/>
              </w:rPr>
              <w:t>“平安校园”建设动态量化考核情况进行赋分。具体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见《“平安校园”建设动态量化考核细则》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教育基建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15%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计财装备处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根据学校基建项目、维修项目等推进情况进行赋分。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具体见《学校项目建设考核细则》（温浙集（开）教计〔2019〕4号）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val="en-US" w:eastAsia="zh-CN"/>
              </w:rPr>
              <w:t>5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val="en-US" w:eastAsia="zh-CN"/>
              </w:rPr>
              <w:t>教学常规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lang w:val="en-US"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pacing w:val="-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</w:rPr>
              <w:t>学业</w:t>
            </w:r>
            <w:r>
              <w:rPr>
                <w:rFonts w:hint="eastAsia" w:ascii="宋体" w:hAnsi="宋体" w:eastAsia="宋体" w:cs="宋体"/>
                <w:spacing w:val="-6"/>
                <w:lang w:val="en-US" w:eastAsia="zh-CN"/>
              </w:rPr>
              <w:t>质量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35%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研训处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基础教育处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按照各学段学业质量、毕业升学、体质健康水平、艺术素养提升等维度情况进行赋分。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z w:val="21"/>
          <w:szCs w:val="21"/>
        </w:rPr>
        <w:t>注：学校日常工作动态考核项目由区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文教体</w:t>
      </w:r>
      <w:r>
        <w:rPr>
          <w:rFonts w:hint="eastAsia" w:ascii="宋体" w:hAnsi="宋体" w:eastAsia="宋体" w:cs="宋体"/>
          <w:sz w:val="21"/>
          <w:szCs w:val="21"/>
        </w:rPr>
        <w:t>局根据教育工作需要再增减和完善。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A0FA8"/>
    <w:rsid w:val="00C41015"/>
    <w:rsid w:val="01782682"/>
    <w:rsid w:val="03F1593D"/>
    <w:rsid w:val="040C6E31"/>
    <w:rsid w:val="047C0C8C"/>
    <w:rsid w:val="05065151"/>
    <w:rsid w:val="05BD11BF"/>
    <w:rsid w:val="061007D6"/>
    <w:rsid w:val="067F4B40"/>
    <w:rsid w:val="0709585B"/>
    <w:rsid w:val="080547D1"/>
    <w:rsid w:val="08951417"/>
    <w:rsid w:val="08B449A9"/>
    <w:rsid w:val="08C917D5"/>
    <w:rsid w:val="09BA4372"/>
    <w:rsid w:val="0A63754C"/>
    <w:rsid w:val="0ADA0FA8"/>
    <w:rsid w:val="0B7E5DD4"/>
    <w:rsid w:val="0BF638F2"/>
    <w:rsid w:val="0E656D88"/>
    <w:rsid w:val="12422549"/>
    <w:rsid w:val="15206D66"/>
    <w:rsid w:val="15497813"/>
    <w:rsid w:val="159511C3"/>
    <w:rsid w:val="184B59A3"/>
    <w:rsid w:val="193A0F24"/>
    <w:rsid w:val="1C3112D4"/>
    <w:rsid w:val="1CA85178"/>
    <w:rsid w:val="203D0A2F"/>
    <w:rsid w:val="208E3B0B"/>
    <w:rsid w:val="219654FC"/>
    <w:rsid w:val="23EF1FCD"/>
    <w:rsid w:val="25523DFE"/>
    <w:rsid w:val="289A029C"/>
    <w:rsid w:val="2A942D77"/>
    <w:rsid w:val="2E087319"/>
    <w:rsid w:val="2FFF5262"/>
    <w:rsid w:val="3050400D"/>
    <w:rsid w:val="31B17151"/>
    <w:rsid w:val="32650F15"/>
    <w:rsid w:val="332A25DD"/>
    <w:rsid w:val="34487920"/>
    <w:rsid w:val="34F54D6B"/>
    <w:rsid w:val="35003FDB"/>
    <w:rsid w:val="38A258C4"/>
    <w:rsid w:val="38E90790"/>
    <w:rsid w:val="3B683801"/>
    <w:rsid w:val="3B954F3E"/>
    <w:rsid w:val="3C515A62"/>
    <w:rsid w:val="3D2F008E"/>
    <w:rsid w:val="3D4E7AFD"/>
    <w:rsid w:val="41AE0839"/>
    <w:rsid w:val="425A4CB7"/>
    <w:rsid w:val="45614B55"/>
    <w:rsid w:val="496F25B3"/>
    <w:rsid w:val="4E784C8B"/>
    <w:rsid w:val="501016EC"/>
    <w:rsid w:val="51FD7BC1"/>
    <w:rsid w:val="58697534"/>
    <w:rsid w:val="5B626EEC"/>
    <w:rsid w:val="5C8B71F9"/>
    <w:rsid w:val="5D3B5F8A"/>
    <w:rsid w:val="5D771A60"/>
    <w:rsid w:val="624C7103"/>
    <w:rsid w:val="644039A5"/>
    <w:rsid w:val="645C1C12"/>
    <w:rsid w:val="67CA6584"/>
    <w:rsid w:val="6B8250D2"/>
    <w:rsid w:val="6EFA07E6"/>
    <w:rsid w:val="6F3A3A4B"/>
    <w:rsid w:val="707B07AD"/>
    <w:rsid w:val="71EC6313"/>
    <w:rsid w:val="722237AA"/>
    <w:rsid w:val="73FD1AAA"/>
    <w:rsid w:val="74711455"/>
    <w:rsid w:val="74E31C51"/>
    <w:rsid w:val="795C4574"/>
    <w:rsid w:val="7A8D61B1"/>
    <w:rsid w:val="7C4A209B"/>
    <w:rsid w:val="7CFD67F4"/>
    <w:rsid w:val="7EB344AA"/>
    <w:rsid w:val="7EEF1E3A"/>
    <w:rsid w:val="7F045BC4"/>
    <w:rsid w:val="7FE776E1"/>
    <w:rsid w:val="7F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仿宋" w:hAnsi="仿宋" w:eastAsia="仿宋" w:cs="Times New Roman"/>
      <w:kern w:val="0"/>
      <w:sz w:val="28"/>
      <w:szCs w:val="28"/>
    </w:rPr>
  </w:style>
  <w:style w:type="paragraph" w:customStyle="1" w:styleId="10">
    <w:name w:val="p0"/>
    <w:basedOn w:val="1"/>
    <w:qFormat/>
    <w:uiPriority w:val="0"/>
    <w:pPr>
      <w:widowControl/>
      <w:spacing w:line="240" w:lineRule="auto"/>
    </w:pPr>
    <w:rPr>
      <w:rFonts w:ascii="Times New Roman" w:hAnsi="Times New Roman" w:cs="Times New Roman"/>
      <w:kern w:val="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1931</Words>
  <Characters>2011</Characters>
  <Lines>0</Lines>
  <Paragraphs>0</Paragraphs>
  <TotalTime>1</TotalTime>
  <ScaleCrop>false</ScaleCrop>
  <LinksUpToDate>false</LinksUpToDate>
  <CharactersWithSpaces>2029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2019-04-09T06:19:00Z</dcterms:created>
  <dc:creator>林倍敏</dc:creator>
  <cp:lastModifiedBy>Administrator</cp:lastModifiedBy>
  <cp:lastPrinted>2019-06-03T02:35:00Z</cp:lastPrinted>
  <dcterms:modified xsi:type="dcterms:W3CDTF">2019-06-13T03:14:43Z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